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3C1B" w14:textId="77777777" w:rsidR="009A64CF" w:rsidRDefault="00000000">
      <w:pPr>
        <w:spacing w:before="1200"/>
        <w:jc w:val="center"/>
      </w:pPr>
      <w:r>
        <w:rPr>
          <w:b/>
          <w:bCs/>
          <w:color w:val="0069BF"/>
          <w:sz w:val="28"/>
          <w:szCs w:val="28"/>
        </w:rPr>
        <w:t>RÉCIT MST</w:t>
      </w:r>
    </w:p>
    <w:p w14:paraId="2661C129" w14:textId="77777777" w:rsidR="009A64CF" w:rsidRDefault="00000000">
      <w:pPr>
        <w:spacing w:before="400"/>
        <w:jc w:val="center"/>
      </w:pPr>
      <w:r>
        <w:rPr>
          <w:b/>
          <w:bCs/>
          <w:color w:val="1E293B"/>
          <w:sz w:val="48"/>
          <w:szCs w:val="48"/>
        </w:rPr>
        <w:t>Guide du maître</w:t>
      </w:r>
    </w:p>
    <w:p w14:paraId="0F3C0436" w14:textId="77777777" w:rsidR="009A64CF" w:rsidRDefault="00000000">
      <w:pPr>
        <w:spacing w:before="200"/>
        <w:jc w:val="center"/>
      </w:pPr>
      <w:r>
        <w:rPr>
          <w:color w:val="0069BF"/>
          <w:sz w:val="36"/>
          <w:szCs w:val="36"/>
        </w:rPr>
        <w:t>Défier l’IA : analyse de données expérimentales</w:t>
      </w:r>
    </w:p>
    <w:p w14:paraId="0C7A3595" w14:textId="77777777" w:rsidR="009A64CF" w:rsidRDefault="009A64CF"/>
    <w:p w14:paraId="47663DD1" w14:textId="77777777" w:rsidR="009A64CF" w:rsidRDefault="009A64CF"/>
    <w:p w14:paraId="0A1F9AC6" w14:textId="77777777" w:rsidR="002A3739" w:rsidRDefault="002A3739"/>
    <w:p w14:paraId="7150921F" w14:textId="77777777" w:rsidR="002A3739" w:rsidRDefault="002A3739"/>
    <w:p w14:paraId="7162B65A" w14:textId="77777777" w:rsidR="002A3739" w:rsidRDefault="002A3739"/>
    <w:p w14:paraId="385E469B" w14:textId="77777777" w:rsidR="009A64CF" w:rsidRDefault="00000000">
      <w:pPr>
        <w:spacing w:after="60"/>
        <w:jc w:val="center"/>
      </w:pPr>
      <w:r>
        <w:rPr>
          <w:color w:val="475569"/>
          <w:sz w:val="24"/>
          <w:szCs w:val="24"/>
        </w:rPr>
        <w:t>Activité pédagogique numérique</w:t>
      </w:r>
    </w:p>
    <w:p w14:paraId="13C76D52" w14:textId="77777777" w:rsidR="009A64CF" w:rsidRDefault="00000000">
      <w:pPr>
        <w:jc w:val="center"/>
        <w:rPr>
          <w:color w:val="475569"/>
          <w:sz w:val="24"/>
          <w:szCs w:val="24"/>
        </w:rPr>
      </w:pPr>
      <w:r>
        <w:rPr>
          <w:color w:val="475569"/>
          <w:sz w:val="24"/>
          <w:szCs w:val="24"/>
        </w:rPr>
        <w:t xml:space="preserve">Science et </w:t>
      </w:r>
      <w:proofErr w:type="gramStart"/>
      <w:r>
        <w:rPr>
          <w:color w:val="475569"/>
          <w:sz w:val="24"/>
          <w:szCs w:val="24"/>
        </w:rPr>
        <w:t>technologie  •</w:t>
      </w:r>
      <w:proofErr w:type="gramEnd"/>
      <w:r>
        <w:rPr>
          <w:color w:val="475569"/>
          <w:sz w:val="24"/>
          <w:szCs w:val="24"/>
        </w:rPr>
        <w:t xml:space="preserve">  Secondaire 4 et 5</w:t>
      </w:r>
    </w:p>
    <w:p w14:paraId="28A17DBE" w14:textId="30BE19AF" w:rsidR="00E71E4A" w:rsidRDefault="00E71E4A">
      <w:pPr>
        <w:jc w:val="center"/>
      </w:pPr>
      <w:r>
        <w:rPr>
          <w:color w:val="475569"/>
          <w:sz w:val="24"/>
          <w:szCs w:val="24"/>
        </w:rPr>
        <w:t xml:space="preserve">Adresse de l’activité : </w:t>
      </w:r>
      <w:hyperlink r:id="rId7" w:history="1">
        <w:r w:rsidRPr="00A47A9C">
          <w:rPr>
            <w:rStyle w:val="Hyperlien"/>
            <w:sz w:val="24"/>
            <w:szCs w:val="24"/>
          </w:rPr>
          <w:t>https://recitmst.qc.ca/defier-ia-analyse-donnees.html</w:t>
        </w:r>
      </w:hyperlink>
      <w:r>
        <w:rPr>
          <w:color w:val="475569"/>
          <w:sz w:val="24"/>
          <w:szCs w:val="24"/>
        </w:rPr>
        <w:t xml:space="preserve"> </w:t>
      </w:r>
    </w:p>
    <w:p w14:paraId="64B9A16D" w14:textId="77777777" w:rsidR="009A64CF" w:rsidRDefault="009A64CF"/>
    <w:p w14:paraId="4072CD1B" w14:textId="3B0AFDDB" w:rsidR="009A64CF" w:rsidRDefault="002A3739" w:rsidP="002A3739">
      <w:pPr>
        <w:jc w:val="center"/>
      </w:pPr>
      <w:r>
        <w:rPr>
          <w:noProof/>
        </w:rPr>
        <w:drawing>
          <wp:inline distT="0" distB="0" distL="0" distR="0" wp14:anchorId="68F5D7EC" wp14:editId="53D8B0FF">
            <wp:extent cx="2857500" cy="647700"/>
            <wp:effectExtent l="0" t="0" r="0" b="0"/>
            <wp:docPr id="1788327276" name="Image 1" descr="Logo RÉCIT M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ÉCIT M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647700"/>
                    </a:xfrm>
                    <a:prstGeom prst="rect">
                      <a:avLst/>
                    </a:prstGeom>
                    <a:noFill/>
                    <a:ln>
                      <a:noFill/>
                    </a:ln>
                  </pic:spPr>
                </pic:pic>
              </a:graphicData>
            </a:graphic>
          </wp:inline>
        </w:drawing>
      </w:r>
    </w:p>
    <w:p w14:paraId="0F335DFA" w14:textId="77777777" w:rsidR="009A64CF" w:rsidRDefault="009A64CF"/>
    <w:p w14:paraId="7A37847D" w14:textId="77777777" w:rsidR="002A3739" w:rsidRDefault="002A3739"/>
    <w:p w14:paraId="15C35676" w14:textId="77777777" w:rsidR="002A3739" w:rsidRDefault="002A3739"/>
    <w:p w14:paraId="721B58A4" w14:textId="77777777" w:rsidR="002A3739" w:rsidRDefault="002A3739"/>
    <w:p w14:paraId="7AB484AC" w14:textId="77777777" w:rsidR="002A3739" w:rsidRDefault="002A3739"/>
    <w:p w14:paraId="4FD14624" w14:textId="77777777" w:rsidR="002A3739" w:rsidRDefault="002A373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A64CF" w14:paraId="7142F304" w14:textId="77777777">
        <w:tblPrEx>
          <w:tblCellMar>
            <w:top w:w="0" w:type="dxa"/>
            <w:bottom w:w="0" w:type="dxa"/>
          </w:tblCellMar>
        </w:tblPrEx>
        <w:tc>
          <w:tcPr>
            <w:tcW w:w="9360" w:type="dxa"/>
            <w:tcBorders>
              <w:top w:val="single" w:sz="1" w:space="0" w:color="0069BF"/>
              <w:left w:val="single" w:sz="1" w:space="0" w:color="0069BF"/>
              <w:bottom w:val="single" w:sz="1" w:space="0" w:color="0069BF"/>
              <w:right w:val="single" w:sz="1" w:space="0" w:color="0069BF"/>
            </w:tcBorders>
            <w:shd w:val="clear" w:color="auto" w:fill="DBEAFE"/>
            <w:tcMar>
              <w:top w:w="120" w:type="dxa"/>
              <w:left w:w="200" w:type="dxa"/>
              <w:bottom w:w="120" w:type="dxa"/>
              <w:right w:w="200" w:type="dxa"/>
            </w:tcMar>
          </w:tcPr>
          <w:p w14:paraId="40A8F924" w14:textId="77777777" w:rsidR="009A64CF" w:rsidRDefault="00000000">
            <w:pPr>
              <w:spacing w:after="60"/>
              <w:jc w:val="center"/>
            </w:pPr>
            <w:r>
              <w:rPr>
                <w:b/>
                <w:bCs/>
                <w:color w:val="0069BF"/>
                <w:sz w:val="20"/>
                <w:szCs w:val="20"/>
              </w:rPr>
              <w:t>Ingénierie RÉCIT MST</w:t>
            </w:r>
          </w:p>
          <w:p w14:paraId="2D6AB232" w14:textId="77777777" w:rsidR="009A64CF" w:rsidRDefault="00000000">
            <w:pPr>
              <w:jc w:val="center"/>
            </w:pPr>
            <w:proofErr w:type="gramStart"/>
            <w:r>
              <w:rPr>
                <w:color w:val="0069BF"/>
                <w:sz w:val="20"/>
                <w:szCs w:val="20"/>
              </w:rPr>
              <w:t>mst@recit.gouv.qc.ca  •</w:t>
            </w:r>
            <w:proofErr w:type="gramEnd"/>
            <w:r>
              <w:rPr>
                <w:color w:val="0069BF"/>
                <w:sz w:val="20"/>
                <w:szCs w:val="20"/>
              </w:rPr>
              <w:t xml:space="preserve">  recitmst.qc.ca</w:t>
            </w:r>
          </w:p>
        </w:tc>
      </w:tr>
    </w:tbl>
    <w:p w14:paraId="3071CBE7" w14:textId="77777777" w:rsidR="009A64CF" w:rsidRDefault="00000000">
      <w:r>
        <w:br w:type="page"/>
      </w:r>
    </w:p>
    <w:p w14:paraId="18A822AE" w14:textId="77777777" w:rsidR="009A64CF" w:rsidRDefault="00000000">
      <w:pPr>
        <w:pStyle w:val="Titre1"/>
      </w:pPr>
      <w:r>
        <w:lastRenderedPageBreak/>
        <w:t>1. Aperçu de l’activité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A64CF" w14:paraId="023FE70D" w14:textId="77777777">
        <w:tblPrEx>
          <w:tblCellMar>
            <w:top w:w="0" w:type="dxa"/>
            <w:bottom w:w="0" w:type="dxa"/>
          </w:tblCellMar>
        </w:tblPrEx>
        <w:tc>
          <w:tcPr>
            <w:tcW w:w="468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054724D0" w14:textId="77777777" w:rsidR="009A64CF" w:rsidRDefault="00000000">
            <w:r>
              <w:rPr>
                <w:b/>
                <w:bCs/>
                <w:color w:val="FFFFFF"/>
                <w:sz w:val="20"/>
                <w:szCs w:val="20"/>
              </w:rPr>
              <w:t>Paramètre</w:t>
            </w:r>
          </w:p>
        </w:tc>
        <w:tc>
          <w:tcPr>
            <w:tcW w:w="468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155BEA80" w14:textId="77777777" w:rsidR="009A64CF" w:rsidRDefault="00000000">
            <w:r>
              <w:rPr>
                <w:b/>
                <w:bCs/>
                <w:color w:val="FFFFFF"/>
                <w:sz w:val="20"/>
                <w:szCs w:val="20"/>
              </w:rPr>
              <w:t>Détails</w:t>
            </w:r>
          </w:p>
        </w:tc>
      </w:tr>
      <w:tr w:rsidR="009A64CF" w14:paraId="71CEEECC"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688F9A30" w14:textId="77777777" w:rsidR="009A64CF" w:rsidRDefault="00000000">
            <w:r>
              <w:rPr>
                <w:color w:val="1E293B"/>
                <w:sz w:val="20"/>
                <w:szCs w:val="20"/>
              </w:rPr>
              <w:t>Titre</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681B13AE" w14:textId="77777777" w:rsidR="009A64CF" w:rsidRDefault="00000000">
            <w:r>
              <w:rPr>
                <w:color w:val="1E293B"/>
                <w:sz w:val="20"/>
                <w:szCs w:val="20"/>
              </w:rPr>
              <w:t>Défier l’IA : analyse de données expérimentales</w:t>
            </w:r>
          </w:p>
        </w:tc>
      </w:tr>
      <w:tr w:rsidR="009A64CF" w14:paraId="2107401D"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2AABFA3A" w14:textId="77777777" w:rsidR="009A64CF" w:rsidRDefault="00000000">
            <w:r>
              <w:rPr>
                <w:color w:val="1E293B"/>
                <w:sz w:val="20"/>
                <w:szCs w:val="20"/>
              </w:rPr>
              <w:t>Type d’activité</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2AB4F20" w14:textId="77777777" w:rsidR="009A64CF" w:rsidRDefault="00000000">
            <w:r>
              <w:rPr>
                <w:color w:val="1E293B"/>
                <w:sz w:val="20"/>
                <w:szCs w:val="20"/>
              </w:rPr>
              <w:t>Analyse de données expérimentales avec vérification critique</w:t>
            </w:r>
          </w:p>
        </w:tc>
      </w:tr>
      <w:tr w:rsidR="009A64CF" w14:paraId="06A21C07"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2E3368EF" w14:textId="77777777" w:rsidR="009A64CF" w:rsidRDefault="00000000">
            <w:r>
              <w:rPr>
                <w:color w:val="1E293B"/>
                <w:sz w:val="20"/>
                <w:szCs w:val="20"/>
              </w:rPr>
              <w:t>Discipline</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054D6ED9" w14:textId="77777777" w:rsidR="009A64CF" w:rsidRDefault="00000000">
            <w:r>
              <w:rPr>
                <w:color w:val="1E293B"/>
                <w:sz w:val="20"/>
                <w:szCs w:val="20"/>
              </w:rPr>
              <w:t>Science et technologie</w:t>
            </w:r>
          </w:p>
        </w:tc>
      </w:tr>
      <w:tr w:rsidR="009A64CF" w14:paraId="65E669AB"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1419FDEE" w14:textId="77777777" w:rsidR="009A64CF" w:rsidRDefault="00000000">
            <w:r>
              <w:rPr>
                <w:color w:val="1E293B"/>
                <w:sz w:val="20"/>
                <w:szCs w:val="20"/>
              </w:rPr>
              <w:t>Niveau</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442F4E94" w14:textId="7AFDC5BB" w:rsidR="009A64CF" w:rsidRDefault="00000000">
            <w:r>
              <w:rPr>
                <w:color w:val="1E293B"/>
                <w:sz w:val="20"/>
                <w:szCs w:val="20"/>
              </w:rPr>
              <w:t>Secondaire 4 et 5</w:t>
            </w:r>
          </w:p>
        </w:tc>
      </w:tr>
      <w:tr w:rsidR="009A64CF" w14:paraId="4A8D9846"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5370A028" w14:textId="77777777" w:rsidR="009A64CF" w:rsidRDefault="00000000">
            <w:r>
              <w:rPr>
                <w:color w:val="1E293B"/>
                <w:sz w:val="20"/>
                <w:szCs w:val="20"/>
              </w:rPr>
              <w:t>Durée estimée</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2BD12F9" w14:textId="77777777" w:rsidR="009A64CF" w:rsidRDefault="00000000">
            <w:r>
              <w:rPr>
                <w:color w:val="1E293B"/>
                <w:sz w:val="20"/>
                <w:szCs w:val="20"/>
              </w:rPr>
              <w:t>75 à 90 minutes (1 à 2 périodes)</w:t>
            </w:r>
          </w:p>
        </w:tc>
      </w:tr>
      <w:tr w:rsidR="009A64CF" w14:paraId="58F3F540"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351789A6" w14:textId="77777777" w:rsidR="009A64CF" w:rsidRDefault="00000000">
            <w:r>
              <w:rPr>
                <w:color w:val="1E293B"/>
                <w:sz w:val="20"/>
                <w:szCs w:val="20"/>
              </w:rPr>
              <w:t>Outils requis</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63088570" w14:textId="77777777" w:rsidR="009A64CF" w:rsidRDefault="00000000">
            <w:r>
              <w:rPr>
                <w:color w:val="1E293B"/>
                <w:sz w:val="20"/>
                <w:szCs w:val="20"/>
              </w:rPr>
              <w:t>Outil d’IA au choix (</w:t>
            </w:r>
            <w:proofErr w:type="spellStart"/>
            <w:r>
              <w:rPr>
                <w:color w:val="1E293B"/>
                <w:sz w:val="20"/>
                <w:szCs w:val="20"/>
              </w:rPr>
              <w:t>Copilot</w:t>
            </w:r>
            <w:proofErr w:type="spellEnd"/>
            <w:r>
              <w:rPr>
                <w:color w:val="1E293B"/>
                <w:sz w:val="20"/>
                <w:szCs w:val="20"/>
              </w:rPr>
              <w:t xml:space="preserve">, Gemini, etc.), </w:t>
            </w:r>
            <w:proofErr w:type="spellStart"/>
            <w:r>
              <w:rPr>
                <w:color w:val="1E293B"/>
                <w:sz w:val="20"/>
                <w:szCs w:val="20"/>
              </w:rPr>
              <w:t>Desmos</w:t>
            </w:r>
            <w:proofErr w:type="spellEnd"/>
            <w:r>
              <w:rPr>
                <w:color w:val="1E293B"/>
                <w:sz w:val="20"/>
                <w:szCs w:val="20"/>
              </w:rPr>
              <w:t xml:space="preserve">, </w:t>
            </w:r>
            <w:proofErr w:type="spellStart"/>
            <w:r>
              <w:rPr>
                <w:color w:val="1E293B"/>
                <w:sz w:val="20"/>
                <w:szCs w:val="20"/>
              </w:rPr>
              <w:t>GeoGebra</w:t>
            </w:r>
            <w:proofErr w:type="spellEnd"/>
            <w:r>
              <w:rPr>
                <w:color w:val="1E293B"/>
                <w:sz w:val="20"/>
                <w:szCs w:val="20"/>
              </w:rPr>
              <w:t xml:space="preserve"> ou tableur</w:t>
            </w:r>
          </w:p>
        </w:tc>
      </w:tr>
      <w:tr w:rsidR="009A64CF" w14:paraId="0152A9E8"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221470BE" w14:textId="77777777" w:rsidR="009A64CF" w:rsidRDefault="00000000">
            <w:r>
              <w:rPr>
                <w:color w:val="1E293B"/>
                <w:sz w:val="20"/>
                <w:szCs w:val="20"/>
              </w:rPr>
              <w:t>Prérequis</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0535F05C" w14:textId="77777777" w:rsidR="009A64CF" w:rsidRDefault="00000000">
            <w:r>
              <w:rPr>
                <w:color w:val="1E293B"/>
                <w:sz w:val="20"/>
                <w:szCs w:val="20"/>
              </w:rPr>
              <w:t>Notions de graphiques, courbes de tendance, cinématique (accélération, vitesse)</w:t>
            </w:r>
          </w:p>
        </w:tc>
      </w:tr>
    </w:tbl>
    <w:p w14:paraId="5B4CCA66" w14:textId="77777777" w:rsidR="009A64CF" w:rsidRDefault="009A64C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A64CF" w14:paraId="7DC108CD" w14:textId="77777777">
        <w:tblPrEx>
          <w:tblCellMar>
            <w:top w:w="0" w:type="dxa"/>
            <w:bottom w:w="0" w:type="dxa"/>
          </w:tblCellMar>
        </w:tblPrEx>
        <w:tc>
          <w:tcPr>
            <w:tcW w:w="9360" w:type="dxa"/>
            <w:tcBorders>
              <w:top w:val="single" w:sz="1" w:space="0" w:color="0069BF"/>
              <w:left w:val="single" w:sz="12" w:space="0" w:color="0069BF"/>
              <w:bottom w:val="single" w:sz="1" w:space="0" w:color="0069BF"/>
              <w:right w:val="single" w:sz="1" w:space="0" w:color="0069BF"/>
            </w:tcBorders>
            <w:shd w:val="clear" w:color="auto" w:fill="DBEAFE"/>
            <w:tcMar>
              <w:top w:w="100" w:type="dxa"/>
              <w:left w:w="200" w:type="dxa"/>
              <w:bottom w:w="100" w:type="dxa"/>
              <w:right w:w="140" w:type="dxa"/>
            </w:tcMar>
          </w:tcPr>
          <w:p w14:paraId="2BFD8FD6" w14:textId="77777777" w:rsidR="009A64CF" w:rsidRDefault="00000000">
            <w:pPr>
              <w:spacing w:after="60"/>
            </w:pPr>
            <w:r>
              <w:rPr>
                <w:b/>
                <w:bCs/>
                <w:color w:val="0069BF"/>
              </w:rPr>
              <w:t>Mise en contexte</w:t>
            </w:r>
          </w:p>
          <w:p w14:paraId="3983CF72" w14:textId="77777777" w:rsidR="009A64CF" w:rsidRDefault="00000000">
            <w:pPr>
              <w:spacing w:after="60"/>
            </w:pPr>
            <w:r>
              <w:rPr>
                <w:color w:val="1E293B"/>
                <w:sz w:val="20"/>
                <w:szCs w:val="20"/>
              </w:rPr>
              <w:t>Les données proviennent d’une expérience de cinématique où l’accélération d’un objet a été mesurée en fonction du temps.</w:t>
            </w:r>
          </w:p>
          <w:p w14:paraId="10BA25EE" w14:textId="77777777" w:rsidR="009A64CF" w:rsidRDefault="00000000">
            <w:pPr>
              <w:spacing w:after="60"/>
            </w:pPr>
            <w:r>
              <w:rPr>
                <w:color w:val="1E293B"/>
                <w:sz w:val="20"/>
                <w:szCs w:val="20"/>
              </w:rPr>
              <w:t>L’élève utilise un outil d’IA générative pour modéliser les données (régression polynomiale), calculer le moment d’accélération nulle et estimer la vitesse par intégration.</w:t>
            </w:r>
          </w:p>
          <w:p w14:paraId="504DC2F3" w14:textId="77777777" w:rsidR="009A64CF" w:rsidRDefault="00000000">
            <w:pPr>
              <w:spacing w:after="60"/>
            </w:pPr>
            <w:r>
              <w:rPr>
                <w:color w:val="1E293B"/>
                <w:sz w:val="20"/>
                <w:szCs w:val="20"/>
              </w:rPr>
              <w:t>À chaque étape, l’élève doit vérifier les résultats de l’IA avec un outil indépendant (</w:t>
            </w:r>
            <w:proofErr w:type="spellStart"/>
            <w:r>
              <w:rPr>
                <w:color w:val="1E293B"/>
                <w:sz w:val="20"/>
                <w:szCs w:val="20"/>
              </w:rPr>
              <w:t>Desmos</w:t>
            </w:r>
            <w:proofErr w:type="spellEnd"/>
            <w:r>
              <w:rPr>
                <w:color w:val="1E293B"/>
                <w:sz w:val="20"/>
                <w:szCs w:val="20"/>
              </w:rPr>
              <w:t xml:space="preserve">, </w:t>
            </w:r>
            <w:proofErr w:type="spellStart"/>
            <w:r>
              <w:rPr>
                <w:color w:val="1E293B"/>
                <w:sz w:val="20"/>
                <w:szCs w:val="20"/>
              </w:rPr>
              <w:t>GeoGebra</w:t>
            </w:r>
            <w:proofErr w:type="spellEnd"/>
            <w:r>
              <w:rPr>
                <w:color w:val="1E293B"/>
                <w:sz w:val="20"/>
                <w:szCs w:val="20"/>
              </w:rPr>
              <w:t xml:space="preserve"> ou tableur).</w:t>
            </w:r>
          </w:p>
          <w:p w14:paraId="523CB38D" w14:textId="77777777" w:rsidR="009A64CF" w:rsidRDefault="00000000">
            <w:pPr>
              <w:spacing w:after="60"/>
            </w:pPr>
            <w:r>
              <w:rPr>
                <w:color w:val="1E293B"/>
                <w:sz w:val="20"/>
                <w:szCs w:val="20"/>
              </w:rPr>
              <w:t xml:space="preserve">Le document original de référence, traité par </w:t>
            </w:r>
            <w:proofErr w:type="spellStart"/>
            <w:r>
              <w:rPr>
                <w:color w:val="1E293B"/>
                <w:sz w:val="20"/>
                <w:szCs w:val="20"/>
              </w:rPr>
              <w:t>Copilot</w:t>
            </w:r>
            <w:proofErr w:type="spellEnd"/>
            <w:r>
              <w:rPr>
                <w:color w:val="1E293B"/>
                <w:sz w:val="20"/>
                <w:szCs w:val="20"/>
              </w:rPr>
              <w:t>, est accessible depuis le pied de page de la fiche élève.</w:t>
            </w:r>
          </w:p>
        </w:tc>
      </w:tr>
    </w:tbl>
    <w:p w14:paraId="717BA5D8" w14:textId="77777777" w:rsidR="009A64CF" w:rsidRDefault="00000000">
      <w:r>
        <w:br w:type="page"/>
      </w:r>
    </w:p>
    <w:p w14:paraId="2F963599" w14:textId="77777777" w:rsidR="009A64CF" w:rsidRDefault="00000000">
      <w:pPr>
        <w:pStyle w:val="Titre1"/>
      </w:pPr>
      <w:r>
        <w:lastRenderedPageBreak/>
        <w:t>2. Intentions pédagogiques</w:t>
      </w:r>
    </w:p>
    <w:p w14:paraId="3092F83D" w14:textId="77777777" w:rsidR="009A64CF" w:rsidRDefault="00000000">
      <w:pPr>
        <w:pStyle w:val="Titre2"/>
        <w:pBdr>
          <w:bottom w:val="single" w:sz="4" w:space="4" w:color="0069BF"/>
        </w:pBdr>
        <w:spacing w:before="280"/>
      </w:pPr>
      <w:r>
        <w:t>2.1 Objectifs disciplinaires</w:t>
      </w:r>
    </w:p>
    <w:p w14:paraId="114A04D8" w14:textId="77777777" w:rsidR="009A64CF" w:rsidRDefault="00000000">
      <w:pPr>
        <w:pStyle w:val="Paragraphedeliste"/>
        <w:numPr>
          <w:ilvl w:val="0"/>
          <w:numId w:val="2"/>
        </w:numPr>
        <w:spacing w:after="80"/>
      </w:pPr>
      <w:r>
        <w:rPr>
          <w:color w:val="1E293B"/>
        </w:rPr>
        <w:t>Analyser des données expérimentales issues d’une expérience de cinématique.</w:t>
      </w:r>
    </w:p>
    <w:p w14:paraId="5FA88D49" w14:textId="77777777" w:rsidR="009A64CF" w:rsidRDefault="00000000">
      <w:pPr>
        <w:pStyle w:val="Paragraphedeliste"/>
        <w:numPr>
          <w:ilvl w:val="0"/>
          <w:numId w:val="2"/>
        </w:numPr>
        <w:spacing w:after="80"/>
      </w:pPr>
      <w:r>
        <w:rPr>
          <w:color w:val="1E293B"/>
        </w:rPr>
        <w:t>Utiliser et interpréter une équation de régression polynomiale de degré 3.</w:t>
      </w:r>
    </w:p>
    <w:p w14:paraId="604119E9" w14:textId="77777777" w:rsidR="009A64CF" w:rsidRDefault="00000000">
      <w:pPr>
        <w:pStyle w:val="Paragraphedeliste"/>
        <w:numPr>
          <w:ilvl w:val="0"/>
          <w:numId w:val="2"/>
        </w:numPr>
        <w:spacing w:after="80"/>
      </w:pPr>
      <w:r>
        <w:rPr>
          <w:color w:val="1E293B"/>
        </w:rPr>
        <w:t>Résoudre une équation pour déterminer le zéro d’une fonction.</w:t>
      </w:r>
    </w:p>
    <w:p w14:paraId="3C8BEB2B" w14:textId="77777777" w:rsidR="009A64CF" w:rsidRDefault="00000000">
      <w:pPr>
        <w:pStyle w:val="Paragraphedeliste"/>
        <w:numPr>
          <w:ilvl w:val="0"/>
          <w:numId w:val="2"/>
        </w:numPr>
        <w:spacing w:after="80"/>
      </w:pPr>
      <w:r>
        <w:rPr>
          <w:color w:val="1E293B"/>
        </w:rPr>
        <w:t>Estimer une valeur par intégration numérique ou analytique.</w:t>
      </w:r>
    </w:p>
    <w:p w14:paraId="5EC99D32" w14:textId="77777777" w:rsidR="009A64CF" w:rsidRDefault="00000000">
      <w:pPr>
        <w:pStyle w:val="Paragraphedeliste"/>
        <w:numPr>
          <w:ilvl w:val="0"/>
          <w:numId w:val="2"/>
        </w:numPr>
        <w:spacing w:after="80"/>
      </w:pPr>
      <w:r>
        <w:rPr>
          <w:color w:val="1E293B"/>
        </w:rPr>
        <w:t>Exercer un jugement critique sur la cohérence et l’exactitude des résultats obtenus.</w:t>
      </w:r>
    </w:p>
    <w:p w14:paraId="77A0796D" w14:textId="77777777" w:rsidR="009A64CF" w:rsidRDefault="009A64CF"/>
    <w:p w14:paraId="625F4AE0" w14:textId="77777777" w:rsidR="009A64CF" w:rsidRDefault="00000000">
      <w:pPr>
        <w:pStyle w:val="Titre2"/>
        <w:pBdr>
          <w:bottom w:val="single" w:sz="4" w:space="4" w:color="0069BF"/>
        </w:pBdr>
        <w:spacing w:before="280"/>
      </w:pPr>
      <w:r>
        <w:t>2.2 Compétences numériques développées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A64CF" w14:paraId="7ABD29F4" w14:textId="77777777">
        <w:tblPrEx>
          <w:tblCellMar>
            <w:top w:w="0" w:type="dxa"/>
            <w:bottom w:w="0" w:type="dxa"/>
          </w:tblCellMar>
        </w:tblPrEx>
        <w:tc>
          <w:tcPr>
            <w:tcW w:w="468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7CC84C03" w14:textId="77777777" w:rsidR="009A64CF" w:rsidRDefault="00000000">
            <w:r>
              <w:rPr>
                <w:b/>
                <w:bCs/>
                <w:color w:val="FFFFFF"/>
                <w:sz w:val="20"/>
                <w:szCs w:val="20"/>
              </w:rPr>
              <w:t>Dimension (Cadre de référence)</w:t>
            </w:r>
          </w:p>
        </w:tc>
        <w:tc>
          <w:tcPr>
            <w:tcW w:w="468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2B190AB9" w14:textId="77777777" w:rsidR="009A64CF" w:rsidRDefault="00000000">
            <w:r>
              <w:rPr>
                <w:b/>
                <w:bCs/>
                <w:color w:val="FFFFFF"/>
                <w:sz w:val="20"/>
                <w:szCs w:val="20"/>
              </w:rPr>
              <w:t>Manifestations dans l’activité</w:t>
            </w:r>
          </w:p>
        </w:tc>
      </w:tr>
      <w:tr w:rsidR="009A64CF" w14:paraId="6E1C0690"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45FF722C" w14:textId="77777777" w:rsidR="009A64CF" w:rsidRDefault="00000000">
            <w:r>
              <w:rPr>
                <w:color w:val="1E293B"/>
                <w:sz w:val="20"/>
                <w:szCs w:val="20"/>
              </w:rPr>
              <w:t>Dimension 3 — Exploiter le potentiel des outils</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73CBD7A0" w14:textId="77777777" w:rsidR="009A64CF" w:rsidRDefault="00000000">
            <w:r>
              <w:rPr>
                <w:color w:val="1E293B"/>
                <w:sz w:val="20"/>
                <w:szCs w:val="20"/>
              </w:rPr>
              <w:t>Utiliser un outil d’IA pour traiter des données; comparer avec des outils spécialisés (</w:t>
            </w:r>
            <w:proofErr w:type="spellStart"/>
            <w:r>
              <w:rPr>
                <w:color w:val="1E293B"/>
                <w:sz w:val="20"/>
                <w:szCs w:val="20"/>
              </w:rPr>
              <w:t>Desmos</w:t>
            </w:r>
            <w:proofErr w:type="spellEnd"/>
            <w:r>
              <w:rPr>
                <w:color w:val="1E293B"/>
                <w:sz w:val="20"/>
                <w:szCs w:val="20"/>
              </w:rPr>
              <w:t xml:space="preserve">, </w:t>
            </w:r>
            <w:proofErr w:type="spellStart"/>
            <w:r>
              <w:rPr>
                <w:color w:val="1E293B"/>
                <w:sz w:val="20"/>
                <w:szCs w:val="20"/>
              </w:rPr>
              <w:t>GeoGebra</w:t>
            </w:r>
            <w:proofErr w:type="spellEnd"/>
            <w:r>
              <w:rPr>
                <w:color w:val="1E293B"/>
                <w:sz w:val="20"/>
                <w:szCs w:val="20"/>
              </w:rPr>
              <w:t>, tableur).</w:t>
            </w:r>
          </w:p>
        </w:tc>
      </w:tr>
      <w:tr w:rsidR="009A64CF" w14:paraId="447541F3"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4434C2D1" w14:textId="77777777" w:rsidR="009A64CF" w:rsidRDefault="00000000">
            <w:r>
              <w:rPr>
                <w:color w:val="1E293B"/>
                <w:sz w:val="20"/>
                <w:szCs w:val="20"/>
              </w:rPr>
              <w:t>Dimension 4 — Développer sa pensée critique</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3722932F" w14:textId="77777777" w:rsidR="009A64CF" w:rsidRDefault="00000000">
            <w:r>
              <w:rPr>
                <w:color w:val="1E293B"/>
                <w:sz w:val="20"/>
                <w:szCs w:val="20"/>
              </w:rPr>
              <w:t>Vérifier chaque résultat fourni par l’IA; identifier les erreurs ou imprécisions; exercer son jugement sur la fiabilité des calculs.</w:t>
            </w:r>
          </w:p>
        </w:tc>
      </w:tr>
      <w:tr w:rsidR="009A64CF" w14:paraId="22FEDC34"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616FD2E1" w14:textId="77777777" w:rsidR="009A64CF" w:rsidRDefault="00000000">
            <w:r>
              <w:rPr>
                <w:color w:val="1E293B"/>
                <w:sz w:val="20"/>
                <w:szCs w:val="20"/>
              </w:rPr>
              <w:t>Dimension 6 — Développer sa compétence informationnelle</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19F9E625" w14:textId="77777777" w:rsidR="009A64CF" w:rsidRDefault="00000000">
            <w:r>
              <w:rPr>
                <w:color w:val="1E293B"/>
                <w:sz w:val="20"/>
                <w:szCs w:val="20"/>
              </w:rPr>
              <w:t>Distinguer une source vérifiable (outil mathématique) d’une réponse non vérifiée de l’IA; exiger les étapes de calcul.</w:t>
            </w:r>
          </w:p>
        </w:tc>
      </w:tr>
      <w:tr w:rsidR="009A64CF" w14:paraId="1FBFBD8E"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26528AAA" w14:textId="77777777" w:rsidR="009A64CF" w:rsidRDefault="00000000">
            <w:r>
              <w:rPr>
                <w:color w:val="1E293B"/>
                <w:sz w:val="20"/>
                <w:szCs w:val="20"/>
              </w:rPr>
              <w:t>Dimension 11 — Adopter des comportements éthiques</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479E5215" w14:textId="77777777" w:rsidR="009A64CF" w:rsidRDefault="00000000">
            <w:r>
              <w:rPr>
                <w:color w:val="1E293B"/>
                <w:sz w:val="20"/>
                <w:szCs w:val="20"/>
              </w:rPr>
              <w:t>Réfléchir à l’usage proportionné de l’IA; questionner la sobriété numérique; comprendre les limites de l’outil.</w:t>
            </w:r>
          </w:p>
        </w:tc>
      </w:tr>
    </w:tbl>
    <w:p w14:paraId="19D7C6D5" w14:textId="77777777" w:rsidR="009A64CF" w:rsidRDefault="009A64CF"/>
    <w:p w14:paraId="05F38F7B" w14:textId="77777777" w:rsidR="009A64CF" w:rsidRDefault="00000000">
      <w:pPr>
        <w:pStyle w:val="Titre2"/>
        <w:pBdr>
          <w:bottom w:val="single" w:sz="4" w:space="4" w:color="0069BF"/>
        </w:pBdr>
        <w:spacing w:before="280"/>
      </w:pPr>
      <w:r>
        <w:t>2.3 Posture pédagogique visée</w:t>
      </w:r>
    </w:p>
    <w:p w14:paraId="6BD41AB4" w14:textId="77777777" w:rsidR="009A64CF" w:rsidRDefault="00000000">
      <w:pPr>
        <w:spacing w:after="120"/>
      </w:pPr>
      <w:r>
        <w:rPr>
          <w:color w:val="1E293B"/>
        </w:rPr>
        <w:t>L’élève est placé en posture d’expert-superviseur. Il ne reçoit pas passivement les résultats de l’IA : il les questionne, les vérifie et les valide. L’IA est utilisée comme un outil d’accélération du traitement, non comme une source de vérité.</w:t>
      </w:r>
    </w:p>
    <w:p w14:paraId="43114DFF" w14:textId="77777777" w:rsidR="009A64CF" w:rsidRDefault="00000000">
      <w:pPr>
        <w:spacing w:after="120"/>
      </w:pPr>
      <w:r>
        <w:rPr>
          <w:color w:val="1E293B"/>
        </w:rPr>
        <w:t>Cette posture est centrale à la littératie en IA : comprendre que les modèles de langage peuvent produire des résultats mathématiquement plausibles mais incorrects.</w:t>
      </w:r>
    </w:p>
    <w:p w14:paraId="09EA0AFA" w14:textId="77777777" w:rsidR="009A64CF" w:rsidRDefault="00000000">
      <w:r>
        <w:br w:type="page"/>
      </w:r>
    </w:p>
    <w:p w14:paraId="72B3DC67" w14:textId="77777777" w:rsidR="009A64CF" w:rsidRDefault="00000000">
      <w:pPr>
        <w:pStyle w:val="Titre1"/>
      </w:pPr>
      <w:r>
        <w:lastRenderedPageBreak/>
        <w:t>3. Liens avec le programme (PFEQ et PDA)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A64CF" w14:paraId="4309D4A0" w14:textId="77777777">
        <w:tblPrEx>
          <w:tblCellMar>
            <w:top w:w="0" w:type="dxa"/>
            <w:bottom w:w="0" w:type="dxa"/>
          </w:tblCellMar>
        </w:tblPrEx>
        <w:tc>
          <w:tcPr>
            <w:tcW w:w="9360" w:type="dxa"/>
            <w:tcBorders>
              <w:top w:val="single" w:sz="1" w:space="0" w:color="FAA22A"/>
              <w:left w:val="single" w:sz="12" w:space="0" w:color="FAA22A"/>
              <w:bottom w:val="single" w:sz="1" w:space="0" w:color="FAA22A"/>
              <w:right w:val="single" w:sz="1" w:space="0" w:color="FAA22A"/>
            </w:tcBorders>
            <w:shd w:val="clear" w:color="auto" w:fill="FEF3C7"/>
            <w:tcMar>
              <w:top w:w="100" w:type="dxa"/>
              <w:left w:w="200" w:type="dxa"/>
              <w:bottom w:w="100" w:type="dxa"/>
              <w:right w:w="140" w:type="dxa"/>
            </w:tcMar>
          </w:tcPr>
          <w:p w14:paraId="791B5579" w14:textId="77777777" w:rsidR="009A64CF" w:rsidRDefault="00000000">
            <w:pPr>
              <w:spacing w:after="60"/>
            </w:pPr>
            <w:r>
              <w:rPr>
                <w:b/>
                <w:bCs/>
                <w:color w:val="FAA22A"/>
              </w:rPr>
              <w:t>Note importante</w:t>
            </w:r>
          </w:p>
          <w:p w14:paraId="28AAFF1D" w14:textId="77777777" w:rsidR="009A64CF" w:rsidRDefault="00000000">
            <w:pPr>
              <w:spacing w:after="60"/>
            </w:pPr>
            <w:r>
              <w:rPr>
                <w:color w:val="1E293B"/>
                <w:sz w:val="20"/>
                <w:szCs w:val="20"/>
              </w:rPr>
              <w:t xml:space="preserve">Les références ci-dessous sont tirées du programme officiel. Toujours valider les citations exactes dans la version officielle du PFEQ disponible sur le site du </w:t>
            </w:r>
            <w:proofErr w:type="gramStart"/>
            <w:r>
              <w:rPr>
                <w:color w:val="1E293B"/>
                <w:sz w:val="20"/>
                <w:szCs w:val="20"/>
              </w:rPr>
              <w:t>Ministère de l’Éducation</w:t>
            </w:r>
            <w:proofErr w:type="gramEnd"/>
            <w:r>
              <w:rPr>
                <w:color w:val="1E293B"/>
                <w:sz w:val="20"/>
                <w:szCs w:val="20"/>
              </w:rPr>
              <w:t xml:space="preserve"> du Québec.</w:t>
            </w:r>
          </w:p>
        </w:tc>
      </w:tr>
    </w:tbl>
    <w:p w14:paraId="6B2ED6D6" w14:textId="77777777" w:rsidR="009A64CF" w:rsidRDefault="009A64CF"/>
    <w:p w14:paraId="7EF4D257" w14:textId="77777777" w:rsidR="009A64CF" w:rsidRDefault="00000000">
      <w:pPr>
        <w:pStyle w:val="Titre2"/>
        <w:pBdr>
          <w:bottom w:val="single" w:sz="4" w:space="4" w:color="0069BF"/>
        </w:pBdr>
        <w:spacing w:before="280"/>
      </w:pPr>
      <w:r>
        <w:t>3.1 Programme de physique (secondaire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A64CF" w14:paraId="27B3AB94" w14:textId="77777777">
        <w:tblPrEx>
          <w:tblCellMar>
            <w:top w:w="0" w:type="dxa"/>
            <w:bottom w:w="0" w:type="dxa"/>
          </w:tblCellMar>
        </w:tblPrEx>
        <w:tc>
          <w:tcPr>
            <w:tcW w:w="280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11364487" w14:textId="77777777" w:rsidR="009A64CF" w:rsidRDefault="00000000">
            <w:r>
              <w:rPr>
                <w:b/>
                <w:bCs/>
                <w:color w:val="FFFFFF"/>
                <w:sz w:val="20"/>
                <w:szCs w:val="20"/>
              </w:rPr>
              <w:t>Section du programme</w:t>
            </w:r>
          </w:p>
        </w:tc>
        <w:tc>
          <w:tcPr>
            <w:tcW w:w="656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69EF9854" w14:textId="77777777" w:rsidR="009A64CF" w:rsidRDefault="00000000">
            <w:r>
              <w:rPr>
                <w:b/>
                <w:bCs/>
                <w:color w:val="FFFFFF"/>
                <w:sz w:val="20"/>
                <w:szCs w:val="20"/>
              </w:rPr>
              <w:t>Énoncé pertinent</w:t>
            </w:r>
          </w:p>
        </w:tc>
      </w:tr>
      <w:tr w:rsidR="009A64CF" w14:paraId="0D09161A"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32CA172C" w14:textId="77777777" w:rsidR="009A64CF" w:rsidRDefault="00000000">
            <w:r>
              <w:rPr>
                <w:color w:val="1E293B"/>
                <w:sz w:val="20"/>
                <w:szCs w:val="20"/>
              </w:rPr>
              <w:t>Cinématique</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0DE7B4A0" w14:textId="77777777" w:rsidR="009A64CF" w:rsidRDefault="00000000">
            <w:r>
              <w:rPr>
                <w:color w:val="1E293B"/>
                <w:sz w:val="20"/>
                <w:szCs w:val="20"/>
              </w:rPr>
              <w:t>Mouvement rectiligne uniformément accéléré : relation entre l’accélération, la variation de vitesse et le temps; vitesse moyenne et vitesse instantanée.</w:t>
            </w:r>
          </w:p>
        </w:tc>
      </w:tr>
      <w:tr w:rsidR="009A64CF" w14:paraId="2CEBAFC7"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30A18ADC" w14:textId="77777777" w:rsidR="009A64CF" w:rsidRDefault="00000000">
            <w:r>
              <w:rPr>
                <w:color w:val="1E293B"/>
                <w:sz w:val="20"/>
                <w:szCs w:val="20"/>
              </w:rPr>
              <w:t>Compétence 1 Résoudre une situation-problème</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4058E23A" w14:textId="77777777" w:rsidR="009A64CF" w:rsidRDefault="00000000">
            <w:r>
              <w:rPr>
                <w:color w:val="1E293B"/>
                <w:sz w:val="20"/>
                <w:szCs w:val="20"/>
              </w:rPr>
              <w:t>L’élève recueille des données valables, analyse les données et en tire des conclusions pertinentes; il tient compte de la précision des outils et des erreurs de mesure.</w:t>
            </w:r>
          </w:p>
        </w:tc>
      </w:tr>
      <w:tr w:rsidR="009A64CF" w14:paraId="05E1E98E"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68C31D90" w14:textId="77777777" w:rsidR="009A64CF" w:rsidRDefault="00000000">
            <w:r>
              <w:rPr>
                <w:color w:val="1E293B"/>
                <w:sz w:val="20"/>
                <w:szCs w:val="20"/>
              </w:rPr>
              <w:t>Compétence 2 Mettre à profit ses connaissances</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05206F7" w14:textId="77777777" w:rsidR="009A64CF" w:rsidRDefault="00000000">
            <w:r>
              <w:rPr>
                <w:color w:val="1E293B"/>
                <w:sz w:val="20"/>
                <w:szCs w:val="20"/>
              </w:rPr>
              <w:t>L’élève décrit les principes de fonctionnement de manière qualitative et justifie les solutions retenues en recourant au formalisme mathématique.</w:t>
            </w:r>
          </w:p>
        </w:tc>
      </w:tr>
      <w:tr w:rsidR="009A64CF" w14:paraId="14A14966"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46C9AC6D" w14:textId="77777777" w:rsidR="009A64CF" w:rsidRDefault="00000000">
            <w:r>
              <w:rPr>
                <w:color w:val="1E293B"/>
                <w:sz w:val="20"/>
                <w:szCs w:val="20"/>
              </w:rPr>
              <w:t>Compétence 3 Communiquer</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41E8A225" w14:textId="77777777" w:rsidR="009A64CF" w:rsidRDefault="00000000">
            <w:r>
              <w:rPr>
                <w:color w:val="1E293B"/>
                <w:sz w:val="20"/>
                <w:szCs w:val="20"/>
              </w:rPr>
              <w:t>L’élève explique et justifie les étapes de sa démarche à la lumière de son analyse; il utilise le langage standardisé de la communauté scientifique.</w:t>
            </w:r>
          </w:p>
        </w:tc>
      </w:tr>
    </w:tbl>
    <w:p w14:paraId="0A898D5F" w14:textId="77777777" w:rsidR="009A64CF" w:rsidRDefault="009A64CF"/>
    <w:p w14:paraId="5A013BA5" w14:textId="77777777" w:rsidR="009A64CF" w:rsidRDefault="00000000">
      <w:pPr>
        <w:pStyle w:val="Titre2"/>
        <w:pBdr>
          <w:bottom w:val="single" w:sz="4" w:space="4" w:color="0069BF"/>
        </w:pBdr>
        <w:spacing w:before="280"/>
      </w:pPr>
      <w:r>
        <w:t>3.2 Programme de mathématiques (secondaire 4-5)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A64CF" w14:paraId="59F9B32E" w14:textId="77777777">
        <w:tblPrEx>
          <w:tblCellMar>
            <w:top w:w="0" w:type="dxa"/>
            <w:bottom w:w="0" w:type="dxa"/>
          </w:tblCellMar>
        </w:tblPrEx>
        <w:tc>
          <w:tcPr>
            <w:tcW w:w="280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7C5A0360" w14:textId="77777777" w:rsidR="009A64CF" w:rsidRDefault="00000000">
            <w:r>
              <w:rPr>
                <w:b/>
                <w:bCs/>
                <w:color w:val="FFFFFF"/>
                <w:sz w:val="20"/>
                <w:szCs w:val="20"/>
              </w:rPr>
              <w:t>Section du programme</w:t>
            </w:r>
          </w:p>
        </w:tc>
        <w:tc>
          <w:tcPr>
            <w:tcW w:w="656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2440834C" w14:textId="77777777" w:rsidR="009A64CF" w:rsidRDefault="00000000">
            <w:r>
              <w:rPr>
                <w:b/>
                <w:bCs/>
                <w:color w:val="FFFFFF"/>
                <w:sz w:val="20"/>
                <w:szCs w:val="20"/>
              </w:rPr>
              <w:t>Énoncé pertinent</w:t>
            </w:r>
          </w:p>
        </w:tc>
      </w:tr>
      <w:tr w:rsidR="009A64CF" w14:paraId="0C761FD2"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5B5BCADE" w14:textId="77777777" w:rsidR="009A64CF" w:rsidRDefault="00000000">
            <w:r>
              <w:rPr>
                <w:color w:val="1E293B"/>
                <w:sz w:val="20"/>
                <w:szCs w:val="20"/>
              </w:rPr>
              <w:t>Compétence 1 Résoudre une situation-problème</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6B829AB6" w14:textId="77777777" w:rsidR="009A64CF" w:rsidRDefault="00000000">
            <w:r>
              <w:rPr>
                <w:color w:val="1E293B"/>
                <w:sz w:val="20"/>
                <w:szCs w:val="20"/>
              </w:rPr>
              <w:t>L’élève mobilise des savoirs mathématiques appropriés; il élabore une solution comportant une démarche et valide les étapes par un modèle mathématique.</w:t>
            </w:r>
          </w:p>
        </w:tc>
      </w:tr>
      <w:tr w:rsidR="009A64CF" w14:paraId="7D97F2E5"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2AAF7DC1" w14:textId="77777777" w:rsidR="009A64CF" w:rsidRDefault="00000000">
            <w:r>
              <w:rPr>
                <w:color w:val="1E293B"/>
                <w:sz w:val="20"/>
                <w:szCs w:val="20"/>
              </w:rPr>
              <w:t>Compétence 2 Déployer un raisonnement mathématique</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9780D03" w14:textId="77777777" w:rsidR="009A64CF" w:rsidRDefault="00000000">
            <w:r>
              <w:rPr>
                <w:color w:val="1E293B"/>
                <w:sz w:val="20"/>
                <w:szCs w:val="20"/>
              </w:rPr>
              <w:t>L’élève émet des conjectures et cherche à les valider par l’élaboration d’une argumentation; il fait appel à l’analogie, à l’induction et à la déduction.</w:t>
            </w:r>
          </w:p>
        </w:tc>
      </w:tr>
      <w:tr w:rsidR="009A64CF" w14:paraId="5439B5BF"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494E2DFB" w14:textId="77777777" w:rsidR="009A64CF" w:rsidRDefault="00000000">
            <w:r>
              <w:rPr>
                <w:color w:val="1E293B"/>
                <w:sz w:val="20"/>
                <w:szCs w:val="20"/>
              </w:rPr>
              <w:t>Statistiques et probabilités (séquences sciences naturelles / technico-sciences)</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5746DA83" w14:textId="77777777" w:rsidR="009A64CF" w:rsidRDefault="00000000">
            <w:r>
              <w:rPr>
                <w:color w:val="1E293B"/>
                <w:sz w:val="20"/>
                <w:szCs w:val="20"/>
              </w:rPr>
              <w:t>Représentation graphique de données; modélisation; corrélation et régression; interprétation des paramètres d’une fonction de régression.</w:t>
            </w:r>
          </w:p>
        </w:tc>
      </w:tr>
    </w:tbl>
    <w:p w14:paraId="44FE3847" w14:textId="77777777" w:rsidR="009A64CF" w:rsidRDefault="00000000">
      <w:r>
        <w:br w:type="page"/>
      </w:r>
    </w:p>
    <w:p w14:paraId="67C1D81A" w14:textId="77777777" w:rsidR="009A64CF" w:rsidRDefault="00000000">
      <w:pPr>
        <w:pStyle w:val="Titre1"/>
      </w:pPr>
      <w:r>
        <w:lastRenderedPageBreak/>
        <w:t>4. Fondements théoriques</w:t>
      </w:r>
    </w:p>
    <w:p w14:paraId="128C5542" w14:textId="77777777" w:rsidR="009A64CF" w:rsidRDefault="00000000">
      <w:pPr>
        <w:spacing w:after="120"/>
      </w:pPr>
      <w:r>
        <w:rPr>
          <w:color w:val="1E293B"/>
        </w:rPr>
        <w:t>L’approche pédagogique de cette activité s’appuie sur plusieurs éléments de recherche en sciences cognitives et en éducation numérique.</w:t>
      </w:r>
    </w:p>
    <w:p w14:paraId="2CAF8976" w14:textId="77777777" w:rsidR="009A64CF" w:rsidRDefault="009A64C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A64CF" w14:paraId="6FFC53E4" w14:textId="77777777">
        <w:tblPrEx>
          <w:tblCellMar>
            <w:top w:w="0" w:type="dxa"/>
            <w:bottom w:w="0" w:type="dxa"/>
          </w:tblCellMar>
        </w:tblPrEx>
        <w:tc>
          <w:tcPr>
            <w:tcW w:w="280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65394E74" w14:textId="77777777" w:rsidR="009A64CF" w:rsidRDefault="00000000">
            <w:r>
              <w:rPr>
                <w:b/>
                <w:bCs/>
                <w:color w:val="FFFFFF"/>
                <w:sz w:val="20"/>
                <w:szCs w:val="20"/>
              </w:rPr>
              <w:t>Élément pédagogique</w:t>
            </w:r>
          </w:p>
        </w:tc>
        <w:tc>
          <w:tcPr>
            <w:tcW w:w="656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6283A921" w14:textId="77777777" w:rsidR="009A64CF" w:rsidRDefault="00000000">
            <w:r>
              <w:rPr>
                <w:b/>
                <w:bCs/>
                <w:color w:val="FFFFFF"/>
                <w:sz w:val="20"/>
                <w:szCs w:val="20"/>
              </w:rPr>
              <w:t>Fondement théorique</w:t>
            </w:r>
          </w:p>
        </w:tc>
      </w:tr>
      <w:tr w:rsidR="009A64CF" w14:paraId="42842E61"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3E2B4A2A" w14:textId="77777777" w:rsidR="009A64CF" w:rsidRDefault="00000000">
            <w:r>
              <w:rPr>
                <w:color w:val="1E293B"/>
                <w:sz w:val="20"/>
                <w:szCs w:val="20"/>
              </w:rPr>
              <w:t>Effort de rappel initial (Phase 1, avant l’IA)</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1DC8FC4F" w14:textId="77777777" w:rsidR="009A64CF" w:rsidRDefault="00000000">
            <w:r>
              <w:rPr>
                <w:color w:val="1E293B"/>
                <w:sz w:val="20"/>
                <w:szCs w:val="20"/>
              </w:rPr>
              <w:t>Évite l</w:t>
            </w:r>
            <w:proofErr w:type="gramStart"/>
            <w:r>
              <w:rPr>
                <w:color w:val="1E293B"/>
                <w:sz w:val="20"/>
                <w:szCs w:val="20"/>
              </w:rPr>
              <w:t>’«</w:t>
            </w:r>
            <w:proofErr w:type="gramEnd"/>
            <w:r>
              <w:rPr>
                <w:color w:val="1E293B"/>
                <w:sz w:val="20"/>
                <w:szCs w:val="20"/>
              </w:rPr>
              <w:t xml:space="preserve"> effet Google » et la dette cognitive. L’élève réactive ses connaissances avant de déléguer à l’IA, maintenant ainsi l’effort cognitif. Référence : </w:t>
            </w:r>
            <w:proofErr w:type="spellStart"/>
            <w:r>
              <w:rPr>
                <w:color w:val="1E293B"/>
                <w:sz w:val="20"/>
                <w:szCs w:val="20"/>
              </w:rPr>
              <w:t>testing</w:t>
            </w:r>
            <w:proofErr w:type="spellEnd"/>
            <w:r>
              <w:rPr>
                <w:color w:val="1E293B"/>
                <w:sz w:val="20"/>
                <w:szCs w:val="20"/>
              </w:rPr>
              <w:t xml:space="preserve"> </w:t>
            </w:r>
            <w:proofErr w:type="spellStart"/>
            <w:r>
              <w:rPr>
                <w:color w:val="1E293B"/>
                <w:sz w:val="20"/>
                <w:szCs w:val="20"/>
              </w:rPr>
              <w:t>effect</w:t>
            </w:r>
            <w:proofErr w:type="spellEnd"/>
            <w:r>
              <w:rPr>
                <w:color w:val="1E293B"/>
                <w:sz w:val="20"/>
                <w:szCs w:val="20"/>
              </w:rPr>
              <w:t xml:space="preserve"> / récupération active (Roediger et </w:t>
            </w:r>
            <w:proofErr w:type="spellStart"/>
            <w:r>
              <w:rPr>
                <w:color w:val="1E293B"/>
                <w:sz w:val="20"/>
                <w:szCs w:val="20"/>
              </w:rPr>
              <w:t>Karpicke</w:t>
            </w:r>
            <w:proofErr w:type="spellEnd"/>
            <w:r>
              <w:rPr>
                <w:color w:val="1E293B"/>
                <w:sz w:val="20"/>
                <w:szCs w:val="20"/>
              </w:rPr>
              <w:t>, 2006).</w:t>
            </w:r>
          </w:p>
        </w:tc>
      </w:tr>
      <w:tr w:rsidR="009A64CF" w14:paraId="607503F9"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63F4043F" w14:textId="77777777" w:rsidR="009A64CF" w:rsidRDefault="00000000">
            <w:r>
              <w:rPr>
                <w:color w:val="1E293B"/>
                <w:sz w:val="20"/>
                <w:szCs w:val="20"/>
              </w:rPr>
              <w:t>Formulation de la requête</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353C9E4" w14:textId="77777777" w:rsidR="009A64CF" w:rsidRDefault="00000000">
            <w:r>
              <w:rPr>
                <w:color w:val="1E293B"/>
                <w:sz w:val="20"/>
                <w:szCs w:val="20"/>
              </w:rPr>
              <w:t>Forcer l’élève à structurer sa demande (contexte + tâche + format) développe la pensée logique et la compétence du 21e siècle liée à la communication précise. L’élève passe de consommateur à pilote.</w:t>
            </w:r>
          </w:p>
        </w:tc>
      </w:tr>
      <w:tr w:rsidR="009A64CF" w14:paraId="294D3488"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042640A0" w14:textId="77777777" w:rsidR="009A64CF" w:rsidRDefault="00000000">
            <w:r>
              <w:rPr>
                <w:color w:val="1E293B"/>
                <w:sz w:val="20"/>
                <w:szCs w:val="20"/>
              </w:rPr>
              <w:t>Exigence des étapes de calcul</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4A89F372" w14:textId="77777777" w:rsidR="009A64CF" w:rsidRDefault="00000000">
            <w:r>
              <w:rPr>
                <w:color w:val="1E293B"/>
                <w:sz w:val="20"/>
                <w:szCs w:val="20"/>
              </w:rPr>
              <w:t>Une réponse sans justification est non vérifiable. Exiger les étapes entraîne l’inhibition cognitive : l’élève freine son impulsion d’accepter une réponse présentée avec assurance.</w:t>
            </w:r>
          </w:p>
        </w:tc>
      </w:tr>
      <w:tr w:rsidR="009A64CF" w14:paraId="6EC9DE34"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11E51043" w14:textId="77777777" w:rsidR="009A64CF" w:rsidRDefault="00000000">
            <w:r>
              <w:rPr>
                <w:color w:val="1E293B"/>
                <w:sz w:val="20"/>
                <w:szCs w:val="20"/>
              </w:rPr>
              <w:t>Chasse aux hallucinations</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1BAD9F6D" w14:textId="77777777" w:rsidR="009A64CF" w:rsidRDefault="00000000">
            <w:r>
              <w:rPr>
                <w:color w:val="1E293B"/>
                <w:sz w:val="20"/>
                <w:szCs w:val="20"/>
              </w:rPr>
              <w:t>Entraîne l’inhibition cognitive (fonction exécutive). Les modèles de langage produisent des réponses statistiquement plausibles mais parfois mathématiquement inexactes. La validation humaine est la seule garantie.</w:t>
            </w:r>
          </w:p>
        </w:tc>
      </w:tr>
      <w:tr w:rsidR="009A64CF" w14:paraId="5D59E10A"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515E6747" w14:textId="77777777" w:rsidR="009A64CF" w:rsidRDefault="00000000">
            <w:r>
              <w:rPr>
                <w:color w:val="1E293B"/>
                <w:sz w:val="20"/>
                <w:szCs w:val="20"/>
              </w:rPr>
              <w:t>Validation par outil indépendant (Phase 2)</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DACE855" w14:textId="77777777" w:rsidR="009A64CF" w:rsidRDefault="00000000">
            <w:r>
              <w:rPr>
                <w:color w:val="1E293B"/>
                <w:sz w:val="20"/>
                <w:szCs w:val="20"/>
              </w:rPr>
              <w:t>Positionne l’élève en expert-superviseur. La confrontation de deux sources développe l’esprit critique épistémique. L’outil mathématique (</w:t>
            </w:r>
            <w:proofErr w:type="spellStart"/>
            <w:r>
              <w:rPr>
                <w:color w:val="1E293B"/>
                <w:sz w:val="20"/>
                <w:szCs w:val="20"/>
              </w:rPr>
              <w:t>Desmos</w:t>
            </w:r>
            <w:proofErr w:type="spellEnd"/>
            <w:r>
              <w:rPr>
                <w:color w:val="1E293B"/>
                <w:sz w:val="20"/>
                <w:szCs w:val="20"/>
              </w:rPr>
              <w:t xml:space="preserve">, </w:t>
            </w:r>
            <w:proofErr w:type="spellStart"/>
            <w:r>
              <w:rPr>
                <w:color w:val="1E293B"/>
                <w:sz w:val="20"/>
                <w:szCs w:val="20"/>
              </w:rPr>
              <w:t>GeoGebra</w:t>
            </w:r>
            <w:proofErr w:type="spellEnd"/>
            <w:r>
              <w:rPr>
                <w:color w:val="1E293B"/>
                <w:sz w:val="20"/>
                <w:szCs w:val="20"/>
              </w:rPr>
              <w:t>, tableur) fournit une vérité calculable et vérifiable.</w:t>
            </w:r>
          </w:p>
        </w:tc>
      </w:tr>
      <w:tr w:rsidR="009A64CF" w14:paraId="76D40B7A"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5C1B2681" w14:textId="77777777" w:rsidR="009A64CF" w:rsidRDefault="00000000">
            <w:r>
              <w:rPr>
                <w:color w:val="1E293B"/>
                <w:sz w:val="20"/>
                <w:szCs w:val="20"/>
              </w:rPr>
              <w:t>Réflexion sur la sobriété numérique (Phase 3)</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18A115F5" w14:textId="77777777" w:rsidR="009A64CF" w:rsidRDefault="00000000">
            <w:r>
              <w:rPr>
                <w:color w:val="1E293B"/>
                <w:sz w:val="20"/>
                <w:szCs w:val="20"/>
              </w:rPr>
              <w:t>Intègre l’éthique du développement durable. Développe le jugement sur la proportionnalité de l’usage de l’IA. Amène l’élève à distinguer les cas où l’IA apporte une valeur ajoutée réelle.</w:t>
            </w:r>
          </w:p>
        </w:tc>
      </w:tr>
    </w:tbl>
    <w:p w14:paraId="3FC93F5B" w14:textId="77777777" w:rsidR="009A64CF" w:rsidRDefault="009A64CF"/>
    <w:p w14:paraId="0A2C9950" w14:textId="77777777" w:rsidR="009A64CF" w:rsidRDefault="00000000">
      <w:r>
        <w:br w:type="page"/>
      </w:r>
    </w:p>
    <w:p w14:paraId="6C024516" w14:textId="77777777" w:rsidR="009A64CF" w:rsidRDefault="00000000">
      <w:pPr>
        <w:pStyle w:val="Titre1"/>
      </w:pPr>
      <w:r>
        <w:lastRenderedPageBreak/>
        <w:t>5. Déroulement suggéré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500"/>
        <w:gridCol w:w="3060"/>
      </w:tblGrid>
      <w:tr w:rsidR="009A64CF" w14:paraId="76A48E25" w14:textId="77777777">
        <w:tblPrEx>
          <w:tblCellMar>
            <w:top w:w="0" w:type="dxa"/>
            <w:bottom w:w="0" w:type="dxa"/>
          </w:tblCellMar>
        </w:tblPrEx>
        <w:tc>
          <w:tcPr>
            <w:tcW w:w="180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2E215195" w14:textId="77777777" w:rsidR="009A64CF" w:rsidRDefault="00000000">
            <w:r>
              <w:rPr>
                <w:b/>
                <w:bCs/>
                <w:color w:val="FFFFFF"/>
                <w:sz w:val="20"/>
                <w:szCs w:val="20"/>
              </w:rPr>
              <w:t>Durée</w:t>
            </w:r>
          </w:p>
        </w:tc>
        <w:tc>
          <w:tcPr>
            <w:tcW w:w="450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4F438CE1" w14:textId="77777777" w:rsidR="009A64CF" w:rsidRDefault="00000000">
            <w:r>
              <w:rPr>
                <w:b/>
                <w:bCs/>
                <w:color w:val="FFFFFF"/>
                <w:sz w:val="20"/>
                <w:szCs w:val="20"/>
              </w:rPr>
              <w:t>Étape</w:t>
            </w:r>
          </w:p>
        </w:tc>
        <w:tc>
          <w:tcPr>
            <w:tcW w:w="306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6D808614" w14:textId="77777777" w:rsidR="009A64CF" w:rsidRDefault="00000000">
            <w:r>
              <w:rPr>
                <w:b/>
                <w:bCs/>
                <w:color w:val="FFFFFF"/>
                <w:sz w:val="20"/>
                <w:szCs w:val="20"/>
              </w:rPr>
              <w:t>Intervention enseignant</w:t>
            </w:r>
          </w:p>
        </w:tc>
      </w:tr>
      <w:tr w:rsidR="009A64CF" w14:paraId="08844786"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21EE1C67" w14:textId="77777777" w:rsidR="009A64CF" w:rsidRDefault="00000000">
            <w:r>
              <w:rPr>
                <w:color w:val="1E293B"/>
                <w:sz w:val="20"/>
                <w:szCs w:val="20"/>
              </w:rPr>
              <w:t>5 min</w:t>
            </w:r>
          </w:p>
        </w:tc>
        <w:tc>
          <w:tcPr>
            <w:tcW w:w="45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46C451BE" w14:textId="77777777" w:rsidR="009A64CF" w:rsidRDefault="00000000">
            <w:r>
              <w:rPr>
                <w:color w:val="1E293B"/>
                <w:sz w:val="20"/>
                <w:szCs w:val="20"/>
              </w:rPr>
              <w:t>Mise en contexte : présenter l’activité et l’avertissement sur les limites de l’IA.</w:t>
            </w:r>
          </w:p>
        </w:tc>
        <w:tc>
          <w:tcPr>
            <w:tcW w:w="30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7480B3F2" w14:textId="77777777" w:rsidR="009A64CF" w:rsidRDefault="00000000">
            <w:r>
              <w:rPr>
                <w:color w:val="1E293B"/>
                <w:sz w:val="20"/>
                <w:szCs w:val="20"/>
              </w:rPr>
              <w:t>Lire l’avertissement à voix haute avec les élèves. Demander : « Avez-vous déjà reçu une mauvaise réponse d’une IA ? »</w:t>
            </w:r>
          </w:p>
        </w:tc>
      </w:tr>
      <w:tr w:rsidR="009A64CF" w14:paraId="5672A2AE"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55B895DA" w14:textId="77777777" w:rsidR="009A64CF" w:rsidRDefault="00000000">
            <w:r>
              <w:rPr>
                <w:color w:val="1E293B"/>
                <w:sz w:val="20"/>
                <w:szCs w:val="20"/>
              </w:rPr>
              <w:t>10 min</w:t>
            </w:r>
          </w:p>
        </w:tc>
        <w:tc>
          <w:tcPr>
            <w:tcW w:w="45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559B28D" w14:textId="77777777" w:rsidR="009A64CF" w:rsidRDefault="00000000">
            <w:r>
              <w:rPr>
                <w:color w:val="1E293B"/>
                <w:sz w:val="20"/>
                <w:szCs w:val="20"/>
              </w:rPr>
              <w:t>Phase 1 — Observation des données et formulation d’une hypothèse sans l’IA.</w:t>
            </w:r>
          </w:p>
        </w:tc>
        <w:tc>
          <w:tcPr>
            <w:tcW w:w="30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7D238357" w14:textId="77777777" w:rsidR="009A64CF" w:rsidRDefault="00000000">
            <w:r>
              <w:rPr>
                <w:color w:val="1E293B"/>
                <w:sz w:val="20"/>
                <w:szCs w:val="20"/>
              </w:rPr>
              <w:t>S’assurer que les élèves ne consultent pas encore l’IA. Observer les hypothèses formulées : une accélération vers zéro devrait être anticipée.</w:t>
            </w:r>
          </w:p>
        </w:tc>
      </w:tr>
      <w:tr w:rsidR="009A64CF" w14:paraId="61B1E8EB"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06D7D3A4" w14:textId="77777777" w:rsidR="009A64CF" w:rsidRDefault="00000000">
            <w:r>
              <w:rPr>
                <w:color w:val="1E293B"/>
                <w:sz w:val="20"/>
                <w:szCs w:val="20"/>
              </w:rPr>
              <w:t>20 min</w:t>
            </w:r>
          </w:p>
        </w:tc>
        <w:tc>
          <w:tcPr>
            <w:tcW w:w="45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0DEF9AC" w14:textId="77777777" w:rsidR="009A64CF" w:rsidRDefault="00000000">
            <w:r>
              <w:rPr>
                <w:color w:val="1E293B"/>
                <w:sz w:val="20"/>
                <w:szCs w:val="20"/>
              </w:rPr>
              <w:t>Phase 2, étapes A et B — Soumettre les données à l’IA et vérifier la régression.</w:t>
            </w:r>
          </w:p>
        </w:tc>
        <w:tc>
          <w:tcPr>
            <w:tcW w:w="30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51CECB7" w14:textId="77777777" w:rsidR="009A64CF" w:rsidRDefault="00000000">
            <w:r>
              <w:rPr>
                <w:color w:val="1E293B"/>
                <w:sz w:val="20"/>
                <w:szCs w:val="20"/>
              </w:rPr>
              <w:t>Circuler et vérifier que les élèves exigent les étapes de calcul de l’IA. Signaler les requêtes trop vagues. Animer une comparaison collective si les résultats divergent.</w:t>
            </w:r>
          </w:p>
        </w:tc>
      </w:tr>
      <w:tr w:rsidR="009A64CF" w14:paraId="5DDA0B04"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0141614E" w14:textId="77777777" w:rsidR="009A64CF" w:rsidRDefault="00000000">
            <w:r>
              <w:rPr>
                <w:color w:val="1E293B"/>
                <w:sz w:val="20"/>
                <w:szCs w:val="20"/>
              </w:rPr>
              <w:t>15 min</w:t>
            </w:r>
          </w:p>
        </w:tc>
        <w:tc>
          <w:tcPr>
            <w:tcW w:w="45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443EB052" w14:textId="77777777" w:rsidR="009A64CF" w:rsidRDefault="00000000">
            <w:r>
              <w:rPr>
                <w:color w:val="1E293B"/>
                <w:sz w:val="20"/>
                <w:szCs w:val="20"/>
              </w:rPr>
              <w:t>Phase 2, étapes C et D — Vérifier le zéro de la fonction et le calcul de vitesse.</w:t>
            </w:r>
          </w:p>
        </w:tc>
        <w:tc>
          <w:tcPr>
            <w:tcW w:w="30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33FF2277" w14:textId="77777777" w:rsidR="009A64CF" w:rsidRDefault="00000000">
            <w:r>
              <w:rPr>
                <w:color w:val="1E293B"/>
                <w:sz w:val="20"/>
                <w:szCs w:val="20"/>
              </w:rPr>
              <w:t xml:space="preserve">Accompagner les élèves qui </w:t>
            </w:r>
            <w:proofErr w:type="gramStart"/>
            <w:r>
              <w:rPr>
                <w:color w:val="1E293B"/>
                <w:sz w:val="20"/>
                <w:szCs w:val="20"/>
              </w:rPr>
              <w:t>ont</w:t>
            </w:r>
            <w:proofErr w:type="gramEnd"/>
            <w:r>
              <w:rPr>
                <w:color w:val="1E293B"/>
                <w:sz w:val="20"/>
                <w:szCs w:val="20"/>
              </w:rPr>
              <w:t xml:space="preserve"> des difficultés avec la substitution dans l’équation. Rappeler la notion d’intégration si nécessaire.</w:t>
            </w:r>
          </w:p>
        </w:tc>
      </w:tr>
      <w:tr w:rsidR="009A64CF" w14:paraId="0091D3FE"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10E585DA" w14:textId="77777777" w:rsidR="009A64CF" w:rsidRDefault="00000000">
            <w:r>
              <w:rPr>
                <w:color w:val="1E293B"/>
                <w:sz w:val="20"/>
                <w:szCs w:val="20"/>
              </w:rPr>
              <w:t>15 min</w:t>
            </w:r>
          </w:p>
        </w:tc>
        <w:tc>
          <w:tcPr>
            <w:tcW w:w="45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504CB72A" w14:textId="77777777" w:rsidR="009A64CF" w:rsidRDefault="00000000">
            <w:r>
              <w:rPr>
                <w:color w:val="1E293B"/>
                <w:sz w:val="20"/>
                <w:szCs w:val="20"/>
              </w:rPr>
              <w:t>Phase 3 — Bilan, chasse aux hallucinations et réflexion sur la sobriété numérique.</w:t>
            </w:r>
          </w:p>
        </w:tc>
        <w:tc>
          <w:tcPr>
            <w:tcW w:w="30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A1B9E3A" w14:textId="77777777" w:rsidR="009A64CF" w:rsidRDefault="00000000">
            <w:r>
              <w:rPr>
                <w:color w:val="1E293B"/>
                <w:sz w:val="20"/>
                <w:szCs w:val="20"/>
              </w:rPr>
              <w:t>Animer une discussion collective sur les erreurs détectées. Mettre en valeur les élèves qui ont trouvé des imprécisions.</w:t>
            </w:r>
          </w:p>
        </w:tc>
      </w:tr>
      <w:tr w:rsidR="009A64CF" w14:paraId="3C408B71"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757E5E3C" w14:textId="77777777" w:rsidR="009A64CF" w:rsidRDefault="00000000">
            <w:r>
              <w:rPr>
                <w:color w:val="1E293B"/>
                <w:sz w:val="20"/>
                <w:szCs w:val="20"/>
              </w:rPr>
              <w:t>10 min</w:t>
            </w:r>
          </w:p>
        </w:tc>
        <w:tc>
          <w:tcPr>
            <w:tcW w:w="45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0BF20F06" w14:textId="77777777" w:rsidR="009A64CF" w:rsidRDefault="00000000">
            <w:r>
              <w:rPr>
                <w:color w:val="1E293B"/>
                <w:sz w:val="20"/>
                <w:szCs w:val="20"/>
              </w:rPr>
              <w:t>Retour collectif et enregistrement des notes.</w:t>
            </w:r>
          </w:p>
        </w:tc>
        <w:tc>
          <w:tcPr>
            <w:tcW w:w="30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6037157F" w14:textId="77777777" w:rsidR="009A64CF" w:rsidRDefault="00000000">
            <w:r>
              <w:rPr>
                <w:color w:val="1E293B"/>
                <w:sz w:val="20"/>
                <w:szCs w:val="20"/>
              </w:rPr>
              <w:t>Demander à quelques élèves de partager leurs observations. Mettre en évidence l’encadré « Retiens ceci ».</w:t>
            </w:r>
          </w:p>
        </w:tc>
      </w:tr>
    </w:tbl>
    <w:p w14:paraId="133253E2" w14:textId="77777777" w:rsidR="009A64CF" w:rsidRDefault="009A64C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A64CF" w14:paraId="7A5456E0" w14:textId="77777777">
        <w:tblPrEx>
          <w:tblCellMar>
            <w:top w:w="0" w:type="dxa"/>
            <w:bottom w:w="0" w:type="dxa"/>
          </w:tblCellMar>
        </w:tblPrEx>
        <w:tc>
          <w:tcPr>
            <w:tcW w:w="9360" w:type="dxa"/>
            <w:tcBorders>
              <w:top w:val="single" w:sz="1" w:space="0" w:color="16A34A"/>
              <w:left w:val="single" w:sz="12" w:space="0" w:color="16A34A"/>
              <w:bottom w:val="single" w:sz="1" w:space="0" w:color="16A34A"/>
              <w:right w:val="single" w:sz="1" w:space="0" w:color="16A34A"/>
            </w:tcBorders>
            <w:shd w:val="clear" w:color="auto" w:fill="DCFCE7"/>
            <w:tcMar>
              <w:top w:w="100" w:type="dxa"/>
              <w:left w:w="200" w:type="dxa"/>
              <w:bottom w:w="100" w:type="dxa"/>
              <w:right w:w="140" w:type="dxa"/>
            </w:tcMar>
          </w:tcPr>
          <w:p w14:paraId="0CC8B2D0" w14:textId="77777777" w:rsidR="009A64CF" w:rsidRDefault="00000000">
            <w:pPr>
              <w:spacing w:after="60"/>
            </w:pPr>
            <w:r>
              <w:rPr>
                <w:b/>
                <w:bCs/>
                <w:color w:val="16A34A"/>
              </w:rPr>
              <w:t>Flexibilité du déroulement</w:t>
            </w:r>
          </w:p>
          <w:p w14:paraId="0A808166" w14:textId="77777777" w:rsidR="009A64CF" w:rsidRDefault="00000000">
            <w:pPr>
              <w:spacing w:after="60"/>
            </w:pPr>
            <w:r>
              <w:rPr>
                <w:color w:val="1E293B"/>
                <w:sz w:val="20"/>
                <w:szCs w:val="20"/>
              </w:rPr>
              <w:t>Cette activité peut être divisée en deux périodes : Phase 1 + Phase 2 étapes A-B lors de la première, Phase 2 étapes C-D + Phase 3 lors de la seconde.</w:t>
            </w:r>
          </w:p>
          <w:p w14:paraId="7EF0E37E" w14:textId="77777777" w:rsidR="009A64CF" w:rsidRDefault="00000000">
            <w:pPr>
              <w:spacing w:after="60"/>
            </w:pPr>
            <w:r>
              <w:rPr>
                <w:color w:val="1E293B"/>
                <w:sz w:val="20"/>
                <w:szCs w:val="20"/>
              </w:rPr>
              <w:t>Les élèves plus avancés peuvent être invités à comparer plusieurs outils d’IA entre eux pour observer les variations de résultats.</w:t>
            </w:r>
          </w:p>
        </w:tc>
      </w:tr>
    </w:tbl>
    <w:p w14:paraId="1095C431" w14:textId="77777777" w:rsidR="009A64CF" w:rsidRDefault="00000000">
      <w:r>
        <w:br w:type="page"/>
      </w:r>
    </w:p>
    <w:p w14:paraId="5C94462B" w14:textId="77777777" w:rsidR="009A64CF" w:rsidRDefault="00000000">
      <w:pPr>
        <w:pStyle w:val="Titre1"/>
      </w:pPr>
      <w:r>
        <w:lastRenderedPageBreak/>
        <w:t>6. Critères d’évaluation suggérés</w:t>
      </w:r>
    </w:p>
    <w:p w14:paraId="3F54CC91" w14:textId="77777777" w:rsidR="009A64CF" w:rsidRDefault="00000000">
      <w:pPr>
        <w:spacing w:after="120"/>
      </w:pPr>
      <w:r>
        <w:rPr>
          <w:color w:val="1E293B"/>
        </w:rPr>
        <w:t>L’évaluation de cette activité porte sur le processus plutôt que sur le produit final. Ce qui est évalué, c’est la rigueur de la démarche de vérification, et non l’obtention d’un résultat numérique exact.</w:t>
      </w:r>
    </w:p>
    <w:p w14:paraId="3338B490" w14:textId="77777777" w:rsidR="009A64CF" w:rsidRDefault="009A64CF"/>
    <w:p w14:paraId="2173C2A5" w14:textId="77777777" w:rsidR="009A64CF" w:rsidRDefault="00000000">
      <w:pPr>
        <w:pStyle w:val="Titre2"/>
        <w:pBdr>
          <w:bottom w:val="single" w:sz="4" w:space="4" w:color="0069BF"/>
        </w:pBdr>
        <w:spacing w:before="280"/>
      </w:pPr>
      <w:r>
        <w:t>6.1 Tableau de critères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1953"/>
        <w:gridCol w:w="1953"/>
        <w:gridCol w:w="1954"/>
      </w:tblGrid>
      <w:tr w:rsidR="009A64CF" w14:paraId="734BC120" w14:textId="77777777">
        <w:tblPrEx>
          <w:tblCellMar>
            <w:top w:w="0" w:type="dxa"/>
            <w:bottom w:w="0" w:type="dxa"/>
          </w:tblCellMar>
        </w:tblPrEx>
        <w:tc>
          <w:tcPr>
            <w:tcW w:w="350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70FEEE9C" w14:textId="77777777" w:rsidR="009A64CF" w:rsidRDefault="00000000">
            <w:r>
              <w:rPr>
                <w:b/>
                <w:bCs/>
                <w:color w:val="FFFFFF"/>
                <w:sz w:val="20"/>
                <w:szCs w:val="20"/>
              </w:rPr>
              <w:t>Critère</w:t>
            </w:r>
          </w:p>
        </w:tc>
        <w:tc>
          <w:tcPr>
            <w:tcW w:w="1953"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7F14B920" w14:textId="77777777" w:rsidR="009A64CF" w:rsidRDefault="00000000">
            <w:r>
              <w:rPr>
                <w:b/>
                <w:bCs/>
                <w:color w:val="FFFFFF"/>
                <w:sz w:val="20"/>
                <w:szCs w:val="20"/>
              </w:rPr>
              <w:t>Excellent</w:t>
            </w:r>
          </w:p>
        </w:tc>
        <w:tc>
          <w:tcPr>
            <w:tcW w:w="1953"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590EF48A" w14:textId="77777777" w:rsidR="009A64CF" w:rsidRDefault="00000000">
            <w:r>
              <w:rPr>
                <w:b/>
                <w:bCs/>
                <w:color w:val="FFFFFF"/>
                <w:sz w:val="20"/>
                <w:szCs w:val="20"/>
              </w:rPr>
              <w:t>Satisfaisant</w:t>
            </w:r>
          </w:p>
        </w:tc>
        <w:tc>
          <w:tcPr>
            <w:tcW w:w="1954"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2DC82BF9" w14:textId="77777777" w:rsidR="009A64CF" w:rsidRDefault="00000000">
            <w:r>
              <w:rPr>
                <w:b/>
                <w:bCs/>
                <w:color w:val="FFFFFF"/>
                <w:sz w:val="20"/>
                <w:szCs w:val="20"/>
              </w:rPr>
              <w:t>À améliorer</w:t>
            </w:r>
          </w:p>
        </w:tc>
      </w:tr>
      <w:tr w:rsidR="009A64CF" w14:paraId="0FC2F3C5" w14:textId="77777777">
        <w:tblPrEx>
          <w:tblCellMar>
            <w:top w:w="0" w:type="dxa"/>
            <w:bottom w:w="0" w:type="dxa"/>
          </w:tblCellMar>
        </w:tblPrEx>
        <w:tc>
          <w:tcPr>
            <w:tcW w:w="35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3C3CE861" w14:textId="77777777" w:rsidR="009A64CF" w:rsidRDefault="00000000">
            <w:r>
              <w:rPr>
                <w:color w:val="1E293B"/>
                <w:sz w:val="20"/>
                <w:szCs w:val="20"/>
              </w:rPr>
              <w:t>Observation et hypothèse initiales (Phase 1)</w:t>
            </w:r>
          </w:p>
        </w:tc>
        <w:tc>
          <w:tcPr>
            <w:tcW w:w="1953"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07AB9F8B" w14:textId="77777777" w:rsidR="009A64CF" w:rsidRDefault="00000000">
            <w:r>
              <w:rPr>
                <w:color w:val="1E293B"/>
                <w:sz w:val="20"/>
                <w:szCs w:val="20"/>
              </w:rPr>
              <w:t>Description précise des tendances; hypothèse justifiée par les données.</w:t>
            </w:r>
          </w:p>
        </w:tc>
        <w:tc>
          <w:tcPr>
            <w:tcW w:w="1953"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5E1443DA" w14:textId="77777777" w:rsidR="009A64CF" w:rsidRDefault="00000000">
            <w:r>
              <w:rPr>
                <w:color w:val="1E293B"/>
                <w:sz w:val="20"/>
                <w:szCs w:val="20"/>
              </w:rPr>
              <w:t>Observation générale correcte; hypothèse formulée sans justification complète.</w:t>
            </w:r>
          </w:p>
        </w:tc>
        <w:tc>
          <w:tcPr>
            <w:tcW w:w="1954"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4A7BF06A" w14:textId="77777777" w:rsidR="009A64CF" w:rsidRDefault="00000000">
            <w:r>
              <w:rPr>
                <w:color w:val="1E293B"/>
                <w:sz w:val="20"/>
                <w:szCs w:val="20"/>
              </w:rPr>
              <w:t>Absence d’observation ou hypothèse non liée aux données.</w:t>
            </w:r>
          </w:p>
        </w:tc>
      </w:tr>
      <w:tr w:rsidR="009A64CF" w14:paraId="576BFF23" w14:textId="77777777">
        <w:tblPrEx>
          <w:tblCellMar>
            <w:top w:w="0" w:type="dxa"/>
            <w:bottom w:w="0" w:type="dxa"/>
          </w:tblCellMar>
        </w:tblPrEx>
        <w:tc>
          <w:tcPr>
            <w:tcW w:w="35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450E7733" w14:textId="77777777" w:rsidR="009A64CF" w:rsidRDefault="00000000">
            <w:r>
              <w:rPr>
                <w:color w:val="1E293B"/>
                <w:sz w:val="20"/>
                <w:szCs w:val="20"/>
              </w:rPr>
              <w:t>Qualité de la requête à l’IA</w:t>
            </w:r>
          </w:p>
        </w:tc>
        <w:tc>
          <w:tcPr>
            <w:tcW w:w="1953"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56FFC6ED" w14:textId="77777777" w:rsidR="009A64CF" w:rsidRDefault="00000000">
            <w:r>
              <w:rPr>
                <w:color w:val="1E293B"/>
                <w:sz w:val="20"/>
                <w:szCs w:val="20"/>
              </w:rPr>
              <w:t>Requête structurée avec contexte, tâche précise et format exigé; étapes demandées.</w:t>
            </w:r>
          </w:p>
        </w:tc>
        <w:tc>
          <w:tcPr>
            <w:tcW w:w="1953"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D7F656A" w14:textId="77777777" w:rsidR="009A64CF" w:rsidRDefault="00000000">
            <w:r>
              <w:rPr>
                <w:color w:val="1E293B"/>
                <w:sz w:val="20"/>
                <w:szCs w:val="20"/>
              </w:rPr>
              <w:t>Requête partiellement structurée; étapes non systématiquement exigées.</w:t>
            </w:r>
          </w:p>
        </w:tc>
        <w:tc>
          <w:tcPr>
            <w:tcW w:w="1954"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0B625BE4" w14:textId="77777777" w:rsidR="009A64CF" w:rsidRDefault="00000000">
            <w:r>
              <w:rPr>
                <w:color w:val="1E293B"/>
                <w:sz w:val="20"/>
                <w:szCs w:val="20"/>
              </w:rPr>
              <w:t>Requête vague ou trop générale; aucune exigence de détails.</w:t>
            </w:r>
          </w:p>
        </w:tc>
      </w:tr>
      <w:tr w:rsidR="009A64CF" w14:paraId="76A221F2" w14:textId="77777777">
        <w:tblPrEx>
          <w:tblCellMar>
            <w:top w:w="0" w:type="dxa"/>
            <w:bottom w:w="0" w:type="dxa"/>
          </w:tblCellMar>
        </w:tblPrEx>
        <w:tc>
          <w:tcPr>
            <w:tcW w:w="35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6527BC3A" w14:textId="77777777" w:rsidR="009A64CF" w:rsidRDefault="00000000">
            <w:r>
              <w:rPr>
                <w:color w:val="1E293B"/>
                <w:sz w:val="20"/>
                <w:szCs w:val="20"/>
              </w:rPr>
              <w:t>Rigueur de la vérification</w:t>
            </w:r>
          </w:p>
        </w:tc>
        <w:tc>
          <w:tcPr>
            <w:tcW w:w="1953"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406CE718" w14:textId="77777777" w:rsidR="009A64CF" w:rsidRDefault="00000000">
            <w:r>
              <w:rPr>
                <w:color w:val="1E293B"/>
                <w:sz w:val="20"/>
                <w:szCs w:val="20"/>
              </w:rPr>
              <w:t>Comparaison systématique avec un outil indépendant; substitution ou vérification graphique documentée.</w:t>
            </w:r>
          </w:p>
        </w:tc>
        <w:tc>
          <w:tcPr>
            <w:tcW w:w="1953"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CEA5E62" w14:textId="77777777" w:rsidR="009A64CF" w:rsidRDefault="00000000">
            <w:r>
              <w:rPr>
                <w:color w:val="1E293B"/>
                <w:sz w:val="20"/>
                <w:szCs w:val="20"/>
              </w:rPr>
              <w:t>Vérification partielle; utilisation d’un outil sans interprétation approfondie.</w:t>
            </w:r>
          </w:p>
        </w:tc>
        <w:tc>
          <w:tcPr>
            <w:tcW w:w="1954"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3633A733" w14:textId="77777777" w:rsidR="009A64CF" w:rsidRDefault="00000000">
            <w:r>
              <w:rPr>
                <w:color w:val="1E293B"/>
                <w:sz w:val="20"/>
                <w:szCs w:val="20"/>
              </w:rPr>
              <w:t>Aucune vérification indépendante; résultats de l’IA acceptés sans question.</w:t>
            </w:r>
          </w:p>
        </w:tc>
      </w:tr>
      <w:tr w:rsidR="009A64CF" w14:paraId="4781B97E" w14:textId="77777777">
        <w:tblPrEx>
          <w:tblCellMar>
            <w:top w:w="0" w:type="dxa"/>
            <w:bottom w:w="0" w:type="dxa"/>
          </w:tblCellMar>
        </w:tblPrEx>
        <w:tc>
          <w:tcPr>
            <w:tcW w:w="35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44FD39A0" w14:textId="77777777" w:rsidR="009A64CF" w:rsidRDefault="00000000">
            <w:r>
              <w:rPr>
                <w:color w:val="1E293B"/>
                <w:sz w:val="20"/>
                <w:szCs w:val="20"/>
              </w:rPr>
              <w:t>Esprit critique (chasse aux hallucinations)</w:t>
            </w:r>
          </w:p>
        </w:tc>
        <w:tc>
          <w:tcPr>
            <w:tcW w:w="1953"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41987A94" w14:textId="77777777" w:rsidR="009A64CF" w:rsidRDefault="00000000">
            <w:r>
              <w:rPr>
                <w:color w:val="1E293B"/>
                <w:sz w:val="20"/>
                <w:szCs w:val="20"/>
              </w:rPr>
              <w:t>Erreurs ou imprécisions identifiées avec explication de la méthode de détection.</w:t>
            </w:r>
          </w:p>
        </w:tc>
        <w:tc>
          <w:tcPr>
            <w:tcW w:w="1953"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11A3563C" w14:textId="77777777" w:rsidR="009A64CF" w:rsidRDefault="00000000">
            <w:r>
              <w:rPr>
                <w:color w:val="1E293B"/>
                <w:sz w:val="20"/>
                <w:szCs w:val="20"/>
              </w:rPr>
              <w:t>Différence entre les outils notée, sans analyse approfondie.</w:t>
            </w:r>
          </w:p>
        </w:tc>
        <w:tc>
          <w:tcPr>
            <w:tcW w:w="1954"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423006CD" w14:textId="77777777" w:rsidR="009A64CF" w:rsidRDefault="00000000">
            <w:r>
              <w:rPr>
                <w:color w:val="1E293B"/>
                <w:sz w:val="20"/>
                <w:szCs w:val="20"/>
              </w:rPr>
              <w:t>Aucune erreur identifiée; confiance aveugle en l’IA.</w:t>
            </w:r>
          </w:p>
        </w:tc>
      </w:tr>
      <w:tr w:rsidR="009A64CF" w14:paraId="23BBF695" w14:textId="77777777">
        <w:tblPrEx>
          <w:tblCellMar>
            <w:top w:w="0" w:type="dxa"/>
            <w:bottom w:w="0" w:type="dxa"/>
          </w:tblCellMar>
        </w:tblPrEx>
        <w:tc>
          <w:tcPr>
            <w:tcW w:w="35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56B5FA80" w14:textId="77777777" w:rsidR="009A64CF" w:rsidRDefault="00000000">
            <w:r>
              <w:rPr>
                <w:color w:val="1E293B"/>
                <w:sz w:val="20"/>
                <w:szCs w:val="20"/>
              </w:rPr>
              <w:t>Réflexion sur la sobriété numérique</w:t>
            </w:r>
          </w:p>
        </w:tc>
        <w:tc>
          <w:tcPr>
            <w:tcW w:w="1953"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1E57F7A3" w14:textId="77777777" w:rsidR="009A64CF" w:rsidRDefault="00000000">
            <w:r>
              <w:rPr>
                <w:color w:val="1E293B"/>
                <w:sz w:val="20"/>
                <w:szCs w:val="20"/>
              </w:rPr>
              <w:t>Réflexion nuancée sur la valeur ajoutée de l’IA; propositions d’usage différent justifiées.</w:t>
            </w:r>
          </w:p>
        </w:tc>
        <w:tc>
          <w:tcPr>
            <w:tcW w:w="1953"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FC3FAB6" w14:textId="77777777" w:rsidR="009A64CF" w:rsidRDefault="00000000">
            <w:r>
              <w:rPr>
                <w:color w:val="1E293B"/>
                <w:sz w:val="20"/>
                <w:szCs w:val="20"/>
              </w:rPr>
              <w:t>Réflexion présente mais peu développée.</w:t>
            </w:r>
          </w:p>
        </w:tc>
        <w:tc>
          <w:tcPr>
            <w:tcW w:w="1954"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0C75F16F" w14:textId="77777777" w:rsidR="009A64CF" w:rsidRDefault="00000000">
            <w:r>
              <w:rPr>
                <w:color w:val="1E293B"/>
                <w:sz w:val="20"/>
                <w:szCs w:val="20"/>
              </w:rPr>
              <w:t>Réflexion absente ou superficielle.</w:t>
            </w:r>
          </w:p>
        </w:tc>
      </w:tr>
    </w:tbl>
    <w:p w14:paraId="7CEF8200" w14:textId="77777777" w:rsidR="009A64CF" w:rsidRDefault="009A64CF"/>
    <w:p w14:paraId="75D033FF" w14:textId="77777777" w:rsidR="003B4E41" w:rsidRDefault="003B4E41">
      <w:pPr>
        <w:rPr>
          <w:b/>
          <w:bCs/>
          <w:color w:val="0069BF"/>
          <w:sz w:val="28"/>
          <w:szCs w:val="28"/>
        </w:rPr>
      </w:pPr>
      <w:r>
        <w:br w:type="page"/>
      </w:r>
    </w:p>
    <w:p w14:paraId="0B5B2BF8" w14:textId="74979230" w:rsidR="009A64CF" w:rsidRDefault="00000000">
      <w:pPr>
        <w:pStyle w:val="Titre2"/>
        <w:pBdr>
          <w:bottom w:val="single" w:sz="4" w:space="4" w:color="0069BF"/>
        </w:pBdr>
        <w:spacing w:before="280"/>
      </w:pPr>
      <w:r>
        <w:lastRenderedPageBreak/>
        <w:t>6.2 Traces à recueillir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A64CF" w14:paraId="38ECE1FB" w14:textId="77777777">
        <w:tblPrEx>
          <w:tblCellMar>
            <w:top w:w="0" w:type="dxa"/>
            <w:bottom w:w="0" w:type="dxa"/>
          </w:tblCellMar>
        </w:tblPrEx>
        <w:tc>
          <w:tcPr>
            <w:tcW w:w="468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43B28736" w14:textId="77777777" w:rsidR="009A64CF" w:rsidRDefault="00000000">
            <w:r>
              <w:rPr>
                <w:b/>
                <w:bCs/>
                <w:color w:val="FFFFFF"/>
                <w:sz w:val="20"/>
                <w:szCs w:val="20"/>
              </w:rPr>
              <w:t>Type de trace</w:t>
            </w:r>
          </w:p>
        </w:tc>
        <w:tc>
          <w:tcPr>
            <w:tcW w:w="468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32F9EC59" w14:textId="77777777" w:rsidR="009A64CF" w:rsidRDefault="00000000">
            <w:r>
              <w:rPr>
                <w:b/>
                <w:bCs/>
                <w:color w:val="FFFFFF"/>
                <w:sz w:val="20"/>
                <w:szCs w:val="20"/>
              </w:rPr>
              <w:t>Éléments à observer</w:t>
            </w:r>
          </w:p>
        </w:tc>
      </w:tr>
      <w:tr w:rsidR="009A64CF" w14:paraId="03099CF6"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72A6373E" w14:textId="77777777" w:rsidR="009A64CF" w:rsidRDefault="00000000">
            <w:r>
              <w:rPr>
                <w:color w:val="1E293B"/>
                <w:sz w:val="20"/>
                <w:szCs w:val="20"/>
              </w:rPr>
              <w:t>Observations (pendant)</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6DA2364A" w14:textId="77777777" w:rsidR="009A64CF" w:rsidRDefault="00000000">
            <w:r>
              <w:rPr>
                <w:color w:val="1E293B"/>
                <w:sz w:val="20"/>
                <w:szCs w:val="20"/>
              </w:rPr>
              <w:t>Qualité des requêtes formulées à l’IA; attitude face aux résultats inattendus; recours spontané à la vérification.</w:t>
            </w:r>
          </w:p>
        </w:tc>
      </w:tr>
      <w:tr w:rsidR="009A64CF" w14:paraId="0C4294A3"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22D74862" w14:textId="77777777" w:rsidR="009A64CF" w:rsidRDefault="00000000">
            <w:r>
              <w:rPr>
                <w:color w:val="1E293B"/>
                <w:sz w:val="20"/>
                <w:szCs w:val="20"/>
              </w:rPr>
              <w:t>Productions (fichier .txt exporté)</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3800A83A" w14:textId="77777777" w:rsidR="009A64CF" w:rsidRDefault="00000000">
            <w:r>
              <w:rPr>
                <w:color w:val="1E293B"/>
                <w:sz w:val="20"/>
                <w:szCs w:val="20"/>
              </w:rPr>
              <w:t>Cohérence et justesse des réponses écrites; présence de vérifications documentées; qualité de la réflexion sur la sobriété.</w:t>
            </w:r>
          </w:p>
        </w:tc>
      </w:tr>
      <w:tr w:rsidR="009A64CF" w14:paraId="642656D0" w14:textId="77777777">
        <w:tblPrEx>
          <w:tblCellMar>
            <w:top w:w="0" w:type="dxa"/>
            <w:bottom w:w="0" w:type="dxa"/>
          </w:tblCellMar>
        </w:tblPrEx>
        <w:tc>
          <w:tcPr>
            <w:tcW w:w="46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714CE357" w14:textId="77777777" w:rsidR="009A64CF" w:rsidRDefault="00000000">
            <w:r>
              <w:rPr>
                <w:color w:val="1E293B"/>
                <w:sz w:val="20"/>
                <w:szCs w:val="20"/>
              </w:rPr>
              <w:t>Conversations (retour collectif)</w:t>
            </w:r>
          </w:p>
        </w:tc>
        <w:tc>
          <w:tcPr>
            <w:tcW w:w="46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2DBA6E4D" w14:textId="77777777" w:rsidR="009A64CF" w:rsidRDefault="00000000">
            <w:r>
              <w:rPr>
                <w:color w:val="1E293B"/>
                <w:sz w:val="20"/>
                <w:szCs w:val="20"/>
              </w:rPr>
              <w:t>Capacité à expliquer les erreurs détectées; argumentation sur la valeur et les limites de l’IA.</w:t>
            </w:r>
          </w:p>
        </w:tc>
      </w:tr>
    </w:tbl>
    <w:p w14:paraId="2DDD5769" w14:textId="77777777" w:rsidR="009A64CF" w:rsidRDefault="009A64CF"/>
    <w:p w14:paraId="1F6F1590" w14:textId="77777777" w:rsidR="009A64CF" w:rsidRDefault="00000000">
      <w:pPr>
        <w:pStyle w:val="Titre1"/>
      </w:pPr>
      <w:r>
        <w:t>7. Pistes de différenciation</w:t>
      </w:r>
    </w:p>
    <w:p w14:paraId="039AF48E" w14:textId="77777777" w:rsidR="009A64CF" w:rsidRDefault="00000000">
      <w:pPr>
        <w:pStyle w:val="Titre2"/>
        <w:pBdr>
          <w:bottom w:val="single" w:sz="4" w:space="4" w:color="0069BF"/>
        </w:pBdr>
        <w:spacing w:before="280"/>
      </w:pPr>
      <w:r>
        <w:t>7.1 Pour les élèves avancés</w:t>
      </w:r>
    </w:p>
    <w:p w14:paraId="6AA4AAC0" w14:textId="77777777" w:rsidR="009A64CF" w:rsidRDefault="00000000">
      <w:pPr>
        <w:pStyle w:val="Paragraphedeliste"/>
        <w:numPr>
          <w:ilvl w:val="0"/>
          <w:numId w:val="2"/>
        </w:numPr>
        <w:spacing w:after="80"/>
      </w:pPr>
      <w:r>
        <w:rPr>
          <w:color w:val="1E293B"/>
        </w:rPr>
        <w:t xml:space="preserve">Comparer les résultats de deux outils d’IA différents (p. ex. </w:t>
      </w:r>
      <w:proofErr w:type="spellStart"/>
      <w:r>
        <w:rPr>
          <w:color w:val="1E293B"/>
        </w:rPr>
        <w:t>Copilot</w:t>
      </w:r>
      <w:proofErr w:type="spellEnd"/>
      <w:r>
        <w:rPr>
          <w:color w:val="1E293B"/>
        </w:rPr>
        <w:t xml:space="preserve"> et Gemini) pour la même tâche et analyser les divergences.</w:t>
      </w:r>
    </w:p>
    <w:p w14:paraId="4A37664F" w14:textId="77777777" w:rsidR="009A64CF" w:rsidRDefault="00000000">
      <w:pPr>
        <w:pStyle w:val="Paragraphedeliste"/>
        <w:numPr>
          <w:ilvl w:val="0"/>
          <w:numId w:val="2"/>
        </w:numPr>
        <w:spacing w:after="80"/>
      </w:pPr>
      <w:r>
        <w:rPr>
          <w:color w:val="1E293B"/>
        </w:rPr>
        <w:t>Tenter d’effectuer l’intégration analytique de l’équation polynomiale à la main, puis comparer avec le résultat de l’IA.</w:t>
      </w:r>
    </w:p>
    <w:p w14:paraId="4A5CC761" w14:textId="77777777" w:rsidR="009A64CF" w:rsidRDefault="00000000">
      <w:pPr>
        <w:pStyle w:val="Paragraphedeliste"/>
        <w:numPr>
          <w:ilvl w:val="0"/>
          <w:numId w:val="2"/>
        </w:numPr>
        <w:spacing w:after="80"/>
      </w:pPr>
      <w:r>
        <w:rPr>
          <w:color w:val="1E293B"/>
        </w:rPr>
        <w:t>Rédiger un court rapport de validation structuré comme un protocole scientifique (hypothèse, méthode, résultats, conclusion).</w:t>
      </w:r>
    </w:p>
    <w:p w14:paraId="6459B68B" w14:textId="77777777" w:rsidR="009A64CF" w:rsidRDefault="00000000">
      <w:pPr>
        <w:pStyle w:val="Paragraphedeliste"/>
        <w:numPr>
          <w:ilvl w:val="0"/>
          <w:numId w:val="2"/>
        </w:numPr>
        <w:spacing w:after="80"/>
      </w:pPr>
      <w:r>
        <w:rPr>
          <w:color w:val="1E293B"/>
        </w:rPr>
        <w:t>Explorer l’impact du degré de la régression (degré 2 vs degré 3 vs degré 4) sur la précision du modèle et sur le calcul du zéro.</w:t>
      </w:r>
    </w:p>
    <w:p w14:paraId="60BCD852" w14:textId="77777777" w:rsidR="009A64CF" w:rsidRDefault="009A64CF"/>
    <w:p w14:paraId="47C3BC39" w14:textId="77777777" w:rsidR="009A64CF" w:rsidRDefault="00000000">
      <w:pPr>
        <w:pStyle w:val="Titre2"/>
        <w:pBdr>
          <w:bottom w:val="single" w:sz="4" w:space="4" w:color="0069BF"/>
        </w:pBdr>
        <w:spacing w:before="280"/>
      </w:pPr>
      <w:r>
        <w:t>7.2 Pour les élèves en difficulté</w:t>
      </w:r>
    </w:p>
    <w:p w14:paraId="3B18A8E7" w14:textId="77777777" w:rsidR="009A64CF" w:rsidRDefault="00000000">
      <w:pPr>
        <w:pStyle w:val="Paragraphedeliste"/>
        <w:numPr>
          <w:ilvl w:val="0"/>
          <w:numId w:val="2"/>
        </w:numPr>
        <w:spacing w:after="80"/>
      </w:pPr>
      <w:r>
        <w:rPr>
          <w:color w:val="1E293B"/>
        </w:rPr>
        <w:t>Fournir une copie de la requête modèle à soumettre à l’IA pour l’étape A (régression seulement).</w:t>
      </w:r>
    </w:p>
    <w:p w14:paraId="3C1489B9" w14:textId="77777777" w:rsidR="009A64CF" w:rsidRDefault="00000000">
      <w:pPr>
        <w:pStyle w:val="Paragraphedeliste"/>
        <w:numPr>
          <w:ilvl w:val="0"/>
          <w:numId w:val="2"/>
        </w:numPr>
        <w:spacing w:after="80"/>
      </w:pPr>
      <w:r>
        <w:rPr>
          <w:color w:val="1E293B"/>
        </w:rPr>
        <w:t>Guider la substitution de la valeur de t dans l’équation avec un exemple intermédiaire au tableau.</w:t>
      </w:r>
    </w:p>
    <w:p w14:paraId="7AF455F2" w14:textId="77777777" w:rsidR="009A64CF" w:rsidRDefault="00000000">
      <w:pPr>
        <w:pStyle w:val="Paragraphedeliste"/>
        <w:numPr>
          <w:ilvl w:val="0"/>
          <w:numId w:val="2"/>
        </w:numPr>
        <w:spacing w:after="80"/>
      </w:pPr>
      <w:r>
        <w:rPr>
          <w:color w:val="1E293B"/>
        </w:rPr>
        <w:t>Limiter la vérification à une seule étape (régression ou zéro) plutôt que les quatre.</w:t>
      </w:r>
    </w:p>
    <w:p w14:paraId="0A9219A8" w14:textId="77777777" w:rsidR="009A64CF" w:rsidRDefault="00000000">
      <w:pPr>
        <w:pStyle w:val="Paragraphedeliste"/>
        <w:numPr>
          <w:ilvl w:val="0"/>
          <w:numId w:val="2"/>
        </w:numPr>
        <w:spacing w:after="80"/>
      </w:pPr>
      <w:r>
        <w:rPr>
          <w:color w:val="1E293B"/>
        </w:rPr>
        <w:t>Permettre le travail en dyades pour partager la charge de vérification entre deux élèves.</w:t>
      </w:r>
    </w:p>
    <w:p w14:paraId="21EEF582" w14:textId="77777777" w:rsidR="009A64CF" w:rsidRDefault="009A64CF"/>
    <w:p w14:paraId="674D4DE5" w14:textId="77777777" w:rsidR="009A64CF" w:rsidRDefault="00000000">
      <w:pPr>
        <w:pStyle w:val="Titre2"/>
        <w:pBdr>
          <w:bottom w:val="single" w:sz="4" w:space="4" w:color="0069BF"/>
        </w:pBdr>
        <w:spacing w:before="280"/>
      </w:pPr>
      <w:r>
        <w:t>7.3 Adaptation pour la FGA (formation des adultes)</w:t>
      </w:r>
    </w:p>
    <w:p w14:paraId="1BB249F2" w14:textId="77777777" w:rsidR="009A64CF" w:rsidRDefault="00000000">
      <w:pPr>
        <w:pStyle w:val="Paragraphedeliste"/>
        <w:numPr>
          <w:ilvl w:val="0"/>
          <w:numId w:val="2"/>
        </w:numPr>
        <w:spacing w:after="80"/>
      </w:pPr>
      <w:r>
        <w:rPr>
          <w:color w:val="1E293B"/>
        </w:rPr>
        <w:t>Lier explicitement l’activité à un contexte professionnel (ex. : contrôle qualité, analyse de données industrielles).</w:t>
      </w:r>
    </w:p>
    <w:p w14:paraId="21CB9724" w14:textId="77777777" w:rsidR="009A64CF" w:rsidRDefault="00000000">
      <w:pPr>
        <w:pStyle w:val="Paragraphedeliste"/>
        <w:numPr>
          <w:ilvl w:val="0"/>
          <w:numId w:val="2"/>
        </w:numPr>
        <w:spacing w:after="80"/>
      </w:pPr>
      <w:r>
        <w:rPr>
          <w:color w:val="1E293B"/>
        </w:rPr>
        <w:t>Permettre l’utilisation du fichier de notes exporté comme support à une discussion individuelle enseignant-élève.</w:t>
      </w:r>
    </w:p>
    <w:p w14:paraId="1A720BD5" w14:textId="77777777" w:rsidR="009A64CF" w:rsidRDefault="00000000">
      <w:r>
        <w:br w:type="page"/>
      </w:r>
    </w:p>
    <w:p w14:paraId="243CB65C" w14:textId="77777777" w:rsidR="009A64CF" w:rsidRDefault="00000000">
      <w:pPr>
        <w:pStyle w:val="Titre1"/>
      </w:pPr>
      <w:r>
        <w:lastRenderedPageBreak/>
        <w:t>8. Points de vigilance</w:t>
      </w:r>
    </w:p>
    <w:p w14:paraId="482CA1F1" w14:textId="77777777" w:rsidR="009A64CF" w:rsidRDefault="009A64C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A64CF" w14:paraId="4DE3431A" w14:textId="77777777">
        <w:tblPrEx>
          <w:tblCellMar>
            <w:top w:w="0" w:type="dxa"/>
            <w:bottom w:w="0" w:type="dxa"/>
          </w:tblCellMar>
        </w:tblPrEx>
        <w:tc>
          <w:tcPr>
            <w:tcW w:w="9360" w:type="dxa"/>
            <w:tcBorders>
              <w:top w:val="single" w:sz="1" w:space="0" w:color="16A34A"/>
              <w:left w:val="single" w:sz="12" w:space="0" w:color="16A34A"/>
              <w:bottom w:val="single" w:sz="1" w:space="0" w:color="16A34A"/>
              <w:right w:val="single" w:sz="1" w:space="0" w:color="16A34A"/>
            </w:tcBorders>
            <w:shd w:val="clear" w:color="auto" w:fill="DCFCE7"/>
            <w:tcMar>
              <w:top w:w="100" w:type="dxa"/>
              <w:left w:w="200" w:type="dxa"/>
              <w:bottom w:w="100" w:type="dxa"/>
              <w:right w:w="140" w:type="dxa"/>
            </w:tcMar>
          </w:tcPr>
          <w:p w14:paraId="734D6F11" w14:textId="77777777" w:rsidR="009A64CF" w:rsidRDefault="00000000">
            <w:pPr>
              <w:spacing w:after="60"/>
            </w:pPr>
            <w:r>
              <w:rPr>
                <w:b/>
                <w:bCs/>
                <w:color w:val="16A34A"/>
              </w:rPr>
              <w:t>Ne pas diaboliser l’IA</w:t>
            </w:r>
          </w:p>
          <w:p w14:paraId="7CAADB2E" w14:textId="77777777" w:rsidR="009A64CF" w:rsidRDefault="00000000">
            <w:pPr>
              <w:spacing w:after="60"/>
            </w:pPr>
            <w:r>
              <w:rPr>
                <w:color w:val="1E293B"/>
                <w:sz w:val="20"/>
                <w:szCs w:val="20"/>
              </w:rPr>
              <w:t>L’objectif n’est pas d’amener les élèves à rejeter les outils d’IA, mais à les utiliser de manière critique et éclairée.</w:t>
            </w:r>
          </w:p>
          <w:p w14:paraId="41A7653A" w14:textId="77777777" w:rsidR="009A64CF" w:rsidRDefault="00000000">
            <w:pPr>
              <w:spacing w:after="60"/>
            </w:pPr>
            <w:r>
              <w:rPr>
                <w:color w:val="1E293B"/>
                <w:sz w:val="20"/>
                <w:szCs w:val="20"/>
              </w:rPr>
              <w:t>Valoriser les cas où l’IA a donné un résultat correct ET les cas où elle a commis une erreur : les deux sont pédagogiquement riches.</w:t>
            </w:r>
          </w:p>
        </w:tc>
      </w:tr>
    </w:tbl>
    <w:p w14:paraId="22921EE7" w14:textId="77777777" w:rsidR="009A64CF" w:rsidRDefault="009A64C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A64CF" w14:paraId="5B8920B2" w14:textId="77777777">
        <w:tblPrEx>
          <w:tblCellMar>
            <w:top w:w="0" w:type="dxa"/>
            <w:bottom w:w="0" w:type="dxa"/>
          </w:tblCellMar>
        </w:tblPrEx>
        <w:tc>
          <w:tcPr>
            <w:tcW w:w="9360" w:type="dxa"/>
            <w:tcBorders>
              <w:top w:val="single" w:sz="1" w:space="0" w:color="FAA22A"/>
              <w:left w:val="single" w:sz="12" w:space="0" w:color="FAA22A"/>
              <w:bottom w:val="single" w:sz="1" w:space="0" w:color="FAA22A"/>
              <w:right w:val="single" w:sz="1" w:space="0" w:color="FAA22A"/>
            </w:tcBorders>
            <w:shd w:val="clear" w:color="auto" w:fill="FEF3C7"/>
            <w:tcMar>
              <w:top w:w="100" w:type="dxa"/>
              <w:left w:w="200" w:type="dxa"/>
              <w:bottom w:w="100" w:type="dxa"/>
              <w:right w:w="140" w:type="dxa"/>
            </w:tcMar>
          </w:tcPr>
          <w:p w14:paraId="5AB85151" w14:textId="77777777" w:rsidR="009A64CF" w:rsidRDefault="00000000">
            <w:pPr>
              <w:spacing w:after="60"/>
            </w:pPr>
            <w:r>
              <w:rPr>
                <w:b/>
                <w:bCs/>
                <w:color w:val="FAA22A"/>
              </w:rPr>
              <w:t>Variabilité des résultats selon l’outil d’IA</w:t>
            </w:r>
          </w:p>
          <w:p w14:paraId="6C14829D" w14:textId="77777777" w:rsidR="009A64CF" w:rsidRDefault="00000000">
            <w:pPr>
              <w:spacing w:after="60"/>
            </w:pPr>
            <w:r>
              <w:rPr>
                <w:color w:val="1E293B"/>
                <w:sz w:val="20"/>
                <w:szCs w:val="20"/>
              </w:rPr>
              <w:t>Les coefficients de régression et la valeur du zéro peuvent varier légèrement selon l’IA utilisée et la formulation de la requête.</w:t>
            </w:r>
          </w:p>
          <w:p w14:paraId="69E3BA58" w14:textId="77777777" w:rsidR="009A64CF" w:rsidRDefault="00000000">
            <w:pPr>
              <w:spacing w:after="60"/>
            </w:pPr>
            <w:r>
              <w:rPr>
                <w:color w:val="1E293B"/>
                <w:sz w:val="20"/>
                <w:szCs w:val="20"/>
              </w:rPr>
              <w:t>Il est recommandé de tester l’activité avec l’outil prévu avant la classe pour connaître les résultats attendus.</w:t>
            </w:r>
          </w:p>
          <w:p w14:paraId="60709ECE" w14:textId="77777777" w:rsidR="009A64CF" w:rsidRDefault="00000000">
            <w:pPr>
              <w:spacing w:after="60"/>
            </w:pPr>
            <w:r>
              <w:rPr>
                <w:color w:val="1E293B"/>
                <w:sz w:val="20"/>
                <w:szCs w:val="20"/>
              </w:rPr>
              <w:t xml:space="preserve">Résultats de référence (obtenus avec </w:t>
            </w:r>
            <w:proofErr w:type="spellStart"/>
            <w:r>
              <w:rPr>
                <w:color w:val="1E293B"/>
                <w:sz w:val="20"/>
                <w:szCs w:val="20"/>
              </w:rPr>
              <w:t>Copilot</w:t>
            </w:r>
            <w:proofErr w:type="spellEnd"/>
            <w:r>
              <w:rPr>
                <w:color w:val="1E293B"/>
                <w:sz w:val="20"/>
                <w:szCs w:val="20"/>
              </w:rPr>
              <w:t>) : équation a(t) = −753,42411t³ + 5912,21491t² − 15465,97575t + 13496,3514; zéro à t ≈ 2,843 s; vitesse ≈ 2,16 m/s.</w:t>
            </w:r>
          </w:p>
        </w:tc>
      </w:tr>
    </w:tbl>
    <w:p w14:paraId="36B84107" w14:textId="77777777" w:rsidR="009A64CF" w:rsidRDefault="009A64C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A64CF" w14:paraId="4C3A9B0D" w14:textId="77777777">
        <w:tblPrEx>
          <w:tblCellMar>
            <w:top w:w="0" w:type="dxa"/>
            <w:bottom w:w="0" w:type="dxa"/>
          </w:tblCellMar>
        </w:tblPrEx>
        <w:tc>
          <w:tcPr>
            <w:tcW w:w="9360" w:type="dxa"/>
            <w:tcBorders>
              <w:top w:val="single" w:sz="1" w:space="0" w:color="0069BF"/>
              <w:left w:val="single" w:sz="12" w:space="0" w:color="0069BF"/>
              <w:bottom w:val="single" w:sz="1" w:space="0" w:color="0069BF"/>
              <w:right w:val="single" w:sz="1" w:space="0" w:color="0069BF"/>
            </w:tcBorders>
            <w:shd w:val="clear" w:color="auto" w:fill="DBEAFE"/>
            <w:tcMar>
              <w:top w:w="100" w:type="dxa"/>
              <w:left w:w="200" w:type="dxa"/>
              <w:bottom w:w="100" w:type="dxa"/>
              <w:right w:w="140" w:type="dxa"/>
            </w:tcMar>
          </w:tcPr>
          <w:p w14:paraId="55A386C1" w14:textId="77777777" w:rsidR="009A64CF" w:rsidRDefault="00000000">
            <w:pPr>
              <w:spacing w:after="60"/>
            </w:pPr>
            <w:r>
              <w:rPr>
                <w:b/>
                <w:bCs/>
                <w:color w:val="0069BF"/>
              </w:rPr>
              <w:t>Accès aux outils de vérification</w:t>
            </w:r>
          </w:p>
          <w:p w14:paraId="7D757273" w14:textId="77777777" w:rsidR="009A64CF" w:rsidRDefault="00000000">
            <w:pPr>
              <w:spacing w:after="60"/>
            </w:pPr>
            <w:r>
              <w:rPr>
                <w:color w:val="1E293B"/>
                <w:sz w:val="20"/>
                <w:szCs w:val="20"/>
              </w:rPr>
              <w:t xml:space="preserve">S’assurer que </w:t>
            </w:r>
            <w:proofErr w:type="spellStart"/>
            <w:r>
              <w:rPr>
                <w:color w:val="1E293B"/>
                <w:sz w:val="20"/>
                <w:szCs w:val="20"/>
              </w:rPr>
              <w:t>Desmos</w:t>
            </w:r>
            <w:proofErr w:type="spellEnd"/>
            <w:r>
              <w:rPr>
                <w:color w:val="1E293B"/>
                <w:sz w:val="20"/>
                <w:szCs w:val="20"/>
              </w:rPr>
              <w:t xml:space="preserve">, </w:t>
            </w:r>
            <w:proofErr w:type="spellStart"/>
            <w:r>
              <w:rPr>
                <w:color w:val="1E293B"/>
                <w:sz w:val="20"/>
                <w:szCs w:val="20"/>
              </w:rPr>
              <w:t>GeoGebra</w:t>
            </w:r>
            <w:proofErr w:type="spellEnd"/>
            <w:r>
              <w:rPr>
                <w:color w:val="1E293B"/>
                <w:sz w:val="20"/>
                <w:szCs w:val="20"/>
              </w:rPr>
              <w:t xml:space="preserve"> ou un tableur est accessible sur les postes de travail.</w:t>
            </w:r>
          </w:p>
          <w:p w14:paraId="1DB4ABE7" w14:textId="77777777" w:rsidR="009A64CF" w:rsidRDefault="00000000">
            <w:pPr>
              <w:spacing w:after="60"/>
            </w:pPr>
            <w:r>
              <w:rPr>
                <w:color w:val="1E293B"/>
                <w:sz w:val="20"/>
                <w:szCs w:val="20"/>
              </w:rPr>
              <w:t xml:space="preserve">La syntaxe de régression cubique dans </w:t>
            </w:r>
            <w:proofErr w:type="spellStart"/>
            <w:r>
              <w:rPr>
                <w:color w:val="1E293B"/>
                <w:sz w:val="20"/>
                <w:szCs w:val="20"/>
              </w:rPr>
              <w:t>Desmos</w:t>
            </w:r>
            <w:proofErr w:type="spellEnd"/>
            <w:r>
              <w:rPr>
                <w:color w:val="1E293B"/>
                <w:sz w:val="20"/>
                <w:szCs w:val="20"/>
              </w:rPr>
              <w:t xml:space="preserve"> est : y₁ ∼ a₃x₁³ + a₂x₁² + </w:t>
            </w:r>
            <w:proofErr w:type="spellStart"/>
            <w:r>
              <w:rPr>
                <w:color w:val="1E293B"/>
                <w:sz w:val="20"/>
                <w:szCs w:val="20"/>
              </w:rPr>
              <w:t>a₁x</w:t>
            </w:r>
            <w:proofErr w:type="spellEnd"/>
            <w:r>
              <w:rPr>
                <w:color w:val="1E293B"/>
                <w:sz w:val="20"/>
                <w:szCs w:val="20"/>
              </w:rPr>
              <w:t>₁ + a₀ (après avoir saisi les données dans une table).</w:t>
            </w:r>
          </w:p>
          <w:p w14:paraId="373375CA" w14:textId="77777777" w:rsidR="009A64CF" w:rsidRDefault="00000000">
            <w:pPr>
              <w:spacing w:after="60"/>
            </w:pPr>
            <w:r>
              <w:rPr>
                <w:color w:val="1E293B"/>
                <w:sz w:val="20"/>
                <w:szCs w:val="20"/>
              </w:rPr>
              <w:t xml:space="preserve">Dans </w:t>
            </w:r>
            <w:proofErr w:type="spellStart"/>
            <w:r>
              <w:rPr>
                <w:color w:val="1E293B"/>
                <w:sz w:val="20"/>
                <w:szCs w:val="20"/>
              </w:rPr>
              <w:t>GeoGebra</w:t>
            </w:r>
            <w:proofErr w:type="spellEnd"/>
            <w:r>
              <w:rPr>
                <w:color w:val="1E293B"/>
                <w:sz w:val="20"/>
                <w:szCs w:val="20"/>
              </w:rPr>
              <w:t xml:space="preserve"> Classique, la commande </w:t>
            </w:r>
            <w:proofErr w:type="spellStart"/>
            <w:proofErr w:type="gramStart"/>
            <w:r>
              <w:rPr>
                <w:color w:val="1E293B"/>
                <w:sz w:val="20"/>
                <w:szCs w:val="20"/>
              </w:rPr>
              <w:t>AjusterPolyn</w:t>
            </w:r>
            <w:proofErr w:type="spellEnd"/>
            <w:r>
              <w:rPr>
                <w:color w:val="1E293B"/>
                <w:sz w:val="20"/>
                <w:szCs w:val="20"/>
              </w:rPr>
              <w:t>( {</w:t>
            </w:r>
            <w:proofErr w:type="gramEnd"/>
            <w:r>
              <w:rPr>
                <w:color w:val="1E293B"/>
                <w:sz w:val="20"/>
                <w:szCs w:val="20"/>
              </w:rPr>
              <w:t xml:space="preserve">points}, </w:t>
            </w:r>
            <w:proofErr w:type="gramStart"/>
            <w:r>
              <w:rPr>
                <w:color w:val="1E293B"/>
                <w:sz w:val="20"/>
                <w:szCs w:val="20"/>
              </w:rPr>
              <w:t>degré )</w:t>
            </w:r>
            <w:proofErr w:type="gramEnd"/>
            <w:r>
              <w:rPr>
                <w:color w:val="1E293B"/>
                <w:sz w:val="20"/>
                <w:szCs w:val="20"/>
              </w:rPr>
              <w:t xml:space="preserve"> effectue la régression polynomiale.</w:t>
            </w:r>
          </w:p>
        </w:tc>
      </w:tr>
    </w:tbl>
    <w:p w14:paraId="7F5B254C" w14:textId="77777777" w:rsidR="009A64CF" w:rsidRDefault="009A64C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A64CF" w14:paraId="3CC5F2E5" w14:textId="77777777">
        <w:tblPrEx>
          <w:tblCellMar>
            <w:top w:w="0" w:type="dxa"/>
            <w:bottom w:w="0" w:type="dxa"/>
          </w:tblCellMar>
        </w:tblPrEx>
        <w:tc>
          <w:tcPr>
            <w:tcW w:w="9360" w:type="dxa"/>
            <w:tcBorders>
              <w:top w:val="single" w:sz="1" w:space="0" w:color="CBD5E1"/>
              <w:left w:val="single" w:sz="12" w:space="0" w:color="CBD5E1"/>
              <w:bottom w:val="single" w:sz="1" w:space="0" w:color="CBD5E1"/>
              <w:right w:val="single" w:sz="1" w:space="0" w:color="CBD5E1"/>
            </w:tcBorders>
            <w:shd w:val="clear" w:color="auto" w:fill="F1F5F9"/>
            <w:tcMar>
              <w:top w:w="100" w:type="dxa"/>
              <w:left w:w="200" w:type="dxa"/>
              <w:bottom w:w="100" w:type="dxa"/>
              <w:right w:w="140" w:type="dxa"/>
            </w:tcMar>
          </w:tcPr>
          <w:p w14:paraId="66B2E42C" w14:textId="77777777" w:rsidR="009A64CF" w:rsidRDefault="00000000">
            <w:pPr>
              <w:spacing w:after="60"/>
            </w:pPr>
            <w:r>
              <w:rPr>
                <w:b/>
                <w:bCs/>
                <w:color w:val="CBD5E1"/>
              </w:rPr>
              <w:t>Gestion du fichier de notes (.txt)</w:t>
            </w:r>
          </w:p>
          <w:p w14:paraId="77E846B8" w14:textId="77777777" w:rsidR="009A64CF" w:rsidRDefault="00000000">
            <w:pPr>
              <w:spacing w:after="60"/>
            </w:pPr>
            <w:r>
              <w:rPr>
                <w:color w:val="1E293B"/>
                <w:sz w:val="20"/>
                <w:szCs w:val="20"/>
              </w:rPr>
              <w:t>Le bouton « Enregistrer mes notes » génère un fichier texte téléchargeable via le navigateur.</w:t>
            </w:r>
          </w:p>
          <w:p w14:paraId="24EDFFC6" w14:textId="77777777" w:rsidR="009A64CF" w:rsidRDefault="00000000">
            <w:pPr>
              <w:spacing w:after="60"/>
            </w:pPr>
            <w:r>
              <w:rPr>
                <w:color w:val="1E293B"/>
                <w:sz w:val="20"/>
                <w:szCs w:val="20"/>
              </w:rPr>
              <w:t>Selon la configuration des postes, ce fichier peut aller dans le dossier Téléchargements ou demander une confirmation.</w:t>
            </w:r>
          </w:p>
          <w:p w14:paraId="597A1D61" w14:textId="77777777" w:rsidR="009A64CF" w:rsidRDefault="00000000">
            <w:pPr>
              <w:spacing w:after="60"/>
            </w:pPr>
            <w:r>
              <w:rPr>
                <w:color w:val="1E293B"/>
                <w:sz w:val="20"/>
                <w:szCs w:val="20"/>
              </w:rPr>
              <w:t>Prévoir un espace de remise (devoir en ligne, courriel, dépôt partagé) si les notes sont évaluées.</w:t>
            </w:r>
          </w:p>
        </w:tc>
      </w:tr>
    </w:tbl>
    <w:p w14:paraId="1104212C" w14:textId="77777777" w:rsidR="009A64CF" w:rsidRDefault="009A64CF"/>
    <w:p w14:paraId="55AC23BD" w14:textId="77777777" w:rsidR="003B4E41" w:rsidRDefault="003B4E41">
      <w:pPr>
        <w:rPr>
          <w:b/>
          <w:bCs/>
          <w:color w:val="0069BF"/>
          <w:sz w:val="36"/>
          <w:szCs w:val="36"/>
        </w:rPr>
      </w:pPr>
      <w:r>
        <w:br w:type="page"/>
      </w:r>
    </w:p>
    <w:p w14:paraId="667950A0" w14:textId="4F67A184" w:rsidR="009A64CF" w:rsidRDefault="00000000">
      <w:pPr>
        <w:pStyle w:val="Titre1"/>
      </w:pPr>
      <w:r>
        <w:lastRenderedPageBreak/>
        <w:t>9. Ressources et liens RÉCIT</w:t>
      </w:r>
    </w:p>
    <w:p w14:paraId="5716FA71" w14:textId="77777777" w:rsidR="009A64CF" w:rsidRDefault="009A64C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9A64CF" w14:paraId="41BBA441" w14:textId="77777777">
        <w:tblPrEx>
          <w:tblCellMar>
            <w:top w:w="0" w:type="dxa"/>
            <w:bottom w:w="0" w:type="dxa"/>
          </w:tblCellMar>
        </w:tblPrEx>
        <w:tc>
          <w:tcPr>
            <w:tcW w:w="624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2792A59B" w14:textId="77777777" w:rsidR="009A64CF" w:rsidRDefault="00000000">
            <w:r>
              <w:rPr>
                <w:b/>
                <w:bCs/>
                <w:color w:val="FFFFFF"/>
                <w:sz w:val="20"/>
                <w:szCs w:val="20"/>
              </w:rPr>
              <w:t>Ressource</w:t>
            </w:r>
          </w:p>
        </w:tc>
        <w:tc>
          <w:tcPr>
            <w:tcW w:w="3120" w:type="dxa"/>
            <w:tcBorders>
              <w:top w:val="single" w:sz="1" w:space="0" w:color="0069BF"/>
              <w:left w:val="single" w:sz="1" w:space="0" w:color="0069BF"/>
              <w:bottom w:val="single" w:sz="1" w:space="0" w:color="0069BF"/>
              <w:right w:val="single" w:sz="1" w:space="0" w:color="0069BF"/>
            </w:tcBorders>
            <w:shd w:val="clear" w:color="auto" w:fill="0069BF"/>
            <w:tcMar>
              <w:top w:w="80" w:type="dxa"/>
              <w:left w:w="140" w:type="dxa"/>
              <w:bottom w:w="80" w:type="dxa"/>
              <w:right w:w="140" w:type="dxa"/>
            </w:tcMar>
          </w:tcPr>
          <w:p w14:paraId="3FE7FC02" w14:textId="77777777" w:rsidR="009A64CF" w:rsidRDefault="00000000">
            <w:r>
              <w:rPr>
                <w:b/>
                <w:bCs/>
                <w:color w:val="FFFFFF"/>
                <w:sz w:val="20"/>
                <w:szCs w:val="20"/>
              </w:rPr>
              <w:t>Accès</w:t>
            </w:r>
          </w:p>
        </w:tc>
      </w:tr>
      <w:tr w:rsidR="009A64CF" w14:paraId="45EC29B4" w14:textId="77777777">
        <w:tblPrEx>
          <w:tblCellMar>
            <w:top w:w="0" w:type="dxa"/>
            <w:bottom w:w="0" w:type="dxa"/>
          </w:tblCellMar>
        </w:tblPrEx>
        <w:tc>
          <w:tcPr>
            <w:tcW w:w="624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56992F0C" w14:textId="77777777" w:rsidR="009A64CF" w:rsidRDefault="00000000">
            <w:r>
              <w:rPr>
                <w:color w:val="1E293B"/>
                <w:sz w:val="20"/>
                <w:szCs w:val="20"/>
              </w:rPr>
              <w:t>Campus RÉCIT — Formation continue en ligne pour les enseignants</w:t>
            </w:r>
          </w:p>
        </w:tc>
        <w:tc>
          <w:tcPr>
            <w:tcW w:w="31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4DAECC9B" w14:textId="31076E03" w:rsidR="009A64CF" w:rsidRDefault="00E71E4A">
            <w:hyperlink r:id="rId9" w:history="1">
              <w:r w:rsidR="00000000" w:rsidRPr="00E71E4A">
                <w:rPr>
                  <w:rStyle w:val="Hyperlien"/>
                  <w:sz w:val="20"/>
                  <w:szCs w:val="20"/>
                </w:rPr>
                <w:t>campus.recit.qc.ca</w:t>
              </w:r>
            </w:hyperlink>
          </w:p>
        </w:tc>
      </w:tr>
      <w:tr w:rsidR="009A64CF" w:rsidRPr="003B4E41" w14:paraId="1516EAE8" w14:textId="77777777">
        <w:tblPrEx>
          <w:tblCellMar>
            <w:top w:w="0" w:type="dxa"/>
            <w:bottom w:w="0" w:type="dxa"/>
          </w:tblCellMar>
        </w:tblPrEx>
        <w:tc>
          <w:tcPr>
            <w:tcW w:w="624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1008BE9A" w14:textId="77777777" w:rsidR="009A64CF" w:rsidRDefault="00000000">
            <w:r>
              <w:rPr>
                <w:color w:val="1E293B"/>
                <w:sz w:val="20"/>
                <w:szCs w:val="20"/>
              </w:rPr>
              <w:t>ECV RÉCIT MST — Espace de collaboration virtuelle (mercredis 9 h à 11 h 30)</w:t>
            </w:r>
          </w:p>
        </w:tc>
        <w:tc>
          <w:tcPr>
            <w:tcW w:w="31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3A84D61D" w14:textId="31068B5E" w:rsidR="009A64CF" w:rsidRPr="003B4E41" w:rsidRDefault="00E71E4A">
            <w:pPr>
              <w:rPr>
                <w:lang w:val="en-CA"/>
              </w:rPr>
            </w:pPr>
            <w:hyperlink r:id="rId10" w:history="1">
              <w:r w:rsidR="00000000" w:rsidRPr="00E71E4A">
                <w:rPr>
                  <w:rStyle w:val="Hyperlien"/>
                  <w:sz w:val="20"/>
                  <w:szCs w:val="20"/>
                  <w:lang w:val="en-CA"/>
                </w:rPr>
                <w:t>recitmst.qc.ca/salle-</w:t>
              </w:r>
              <w:proofErr w:type="spellStart"/>
              <w:r w:rsidR="00000000" w:rsidRPr="00E71E4A">
                <w:rPr>
                  <w:rStyle w:val="Hyperlien"/>
                  <w:sz w:val="20"/>
                  <w:szCs w:val="20"/>
                  <w:lang w:val="en-CA"/>
                </w:rPr>
                <w:t>ecv</w:t>
              </w:r>
              <w:proofErr w:type="spellEnd"/>
            </w:hyperlink>
          </w:p>
        </w:tc>
      </w:tr>
      <w:tr w:rsidR="009A64CF" w14:paraId="59C80EAC" w14:textId="77777777">
        <w:tblPrEx>
          <w:tblCellMar>
            <w:top w:w="0" w:type="dxa"/>
            <w:bottom w:w="0" w:type="dxa"/>
          </w:tblCellMar>
        </w:tblPrEx>
        <w:tc>
          <w:tcPr>
            <w:tcW w:w="624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2B3E8DFD" w14:textId="77777777" w:rsidR="009A64CF" w:rsidRDefault="00000000">
            <w:r>
              <w:rPr>
                <w:color w:val="1E293B"/>
                <w:sz w:val="20"/>
                <w:szCs w:val="20"/>
              </w:rPr>
              <w:t>Cadre de référence de la compétence numérique — MEQ</w:t>
            </w:r>
          </w:p>
        </w:tc>
        <w:tc>
          <w:tcPr>
            <w:tcW w:w="31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19D9F63C" w14:textId="5399EB43" w:rsidR="009A64CF" w:rsidRDefault="00E71E4A">
            <w:hyperlink r:id="rId11" w:history="1">
              <w:r w:rsidR="00000000" w:rsidRPr="00E71E4A">
                <w:rPr>
                  <w:rStyle w:val="Hyperlien"/>
                  <w:sz w:val="20"/>
                  <w:szCs w:val="20"/>
                </w:rPr>
                <w:t>cdn-contenu.quebec.ca</w:t>
              </w:r>
            </w:hyperlink>
            <w:r w:rsidR="00000000">
              <w:rPr>
                <w:color w:val="1E293B"/>
                <w:sz w:val="20"/>
                <w:szCs w:val="20"/>
              </w:rPr>
              <w:t xml:space="preserve"> (voir Numérique)</w:t>
            </w:r>
          </w:p>
        </w:tc>
      </w:tr>
      <w:tr w:rsidR="009A64CF" w14:paraId="2753B66C" w14:textId="77777777">
        <w:tblPrEx>
          <w:tblCellMar>
            <w:top w:w="0" w:type="dxa"/>
            <w:bottom w:w="0" w:type="dxa"/>
          </w:tblCellMar>
        </w:tblPrEx>
        <w:tc>
          <w:tcPr>
            <w:tcW w:w="624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6AE7C322" w14:textId="77777777" w:rsidR="009A64CF" w:rsidRDefault="00000000">
            <w:r>
              <w:rPr>
                <w:color w:val="1E293B"/>
                <w:sz w:val="20"/>
                <w:szCs w:val="20"/>
              </w:rPr>
              <w:t>Guide ministériel : utilisation pédagogique, éthique et légale de l’IA — MEQ</w:t>
            </w:r>
          </w:p>
        </w:tc>
        <w:tc>
          <w:tcPr>
            <w:tcW w:w="31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5835E9B5" w14:textId="44B7ED3E" w:rsidR="009A64CF" w:rsidRDefault="00E71E4A">
            <w:hyperlink r:id="rId12" w:history="1">
              <w:r w:rsidR="00000000" w:rsidRPr="00E71E4A">
                <w:rPr>
                  <w:rStyle w:val="Hyperlien"/>
                  <w:sz w:val="20"/>
                  <w:szCs w:val="20"/>
                </w:rPr>
                <w:t>cdn-contenu.quebec.ca (voir Numérique)</w:t>
              </w:r>
            </w:hyperlink>
          </w:p>
        </w:tc>
      </w:tr>
      <w:tr w:rsidR="009A64CF" w14:paraId="5EC9B50C" w14:textId="77777777">
        <w:tblPrEx>
          <w:tblCellMar>
            <w:top w:w="0" w:type="dxa"/>
            <w:bottom w:w="0" w:type="dxa"/>
          </w:tblCellMar>
        </w:tblPrEx>
        <w:tc>
          <w:tcPr>
            <w:tcW w:w="624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518A15C4" w14:textId="77777777" w:rsidR="009A64CF" w:rsidRDefault="00000000">
            <w:proofErr w:type="spellStart"/>
            <w:r>
              <w:rPr>
                <w:color w:val="1E293B"/>
                <w:sz w:val="20"/>
                <w:szCs w:val="20"/>
              </w:rPr>
              <w:t>Desmos</w:t>
            </w:r>
            <w:proofErr w:type="spellEnd"/>
            <w:r>
              <w:rPr>
                <w:color w:val="1E293B"/>
                <w:sz w:val="20"/>
                <w:szCs w:val="20"/>
              </w:rPr>
              <w:t xml:space="preserve"> — Calculatrice graphique en ligne (régression polynomiale)</w:t>
            </w:r>
          </w:p>
        </w:tc>
        <w:tc>
          <w:tcPr>
            <w:tcW w:w="31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3971D373" w14:textId="76026FF6" w:rsidR="009A64CF" w:rsidRDefault="00E71E4A">
            <w:hyperlink r:id="rId13" w:history="1">
              <w:r w:rsidR="00000000" w:rsidRPr="00E71E4A">
                <w:rPr>
                  <w:rStyle w:val="Hyperlien"/>
                  <w:sz w:val="20"/>
                  <w:szCs w:val="20"/>
                </w:rPr>
                <w:t>desmos.com/</w:t>
              </w:r>
              <w:proofErr w:type="spellStart"/>
              <w:r w:rsidR="00000000" w:rsidRPr="00E71E4A">
                <w:rPr>
                  <w:rStyle w:val="Hyperlien"/>
                  <w:sz w:val="20"/>
                  <w:szCs w:val="20"/>
                </w:rPr>
                <w:t>calculator</w:t>
              </w:r>
              <w:proofErr w:type="spellEnd"/>
            </w:hyperlink>
          </w:p>
        </w:tc>
      </w:tr>
      <w:tr w:rsidR="009A64CF" w14:paraId="5C97B635" w14:textId="77777777">
        <w:tblPrEx>
          <w:tblCellMar>
            <w:top w:w="0" w:type="dxa"/>
            <w:bottom w:w="0" w:type="dxa"/>
          </w:tblCellMar>
        </w:tblPrEx>
        <w:tc>
          <w:tcPr>
            <w:tcW w:w="624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7B337821" w14:textId="77777777" w:rsidR="009A64CF" w:rsidRDefault="00000000">
            <w:proofErr w:type="spellStart"/>
            <w:r>
              <w:rPr>
                <w:color w:val="1E293B"/>
                <w:sz w:val="20"/>
                <w:szCs w:val="20"/>
              </w:rPr>
              <w:t>GeoGebra</w:t>
            </w:r>
            <w:proofErr w:type="spellEnd"/>
            <w:r>
              <w:rPr>
                <w:color w:val="1E293B"/>
                <w:sz w:val="20"/>
                <w:szCs w:val="20"/>
              </w:rPr>
              <w:t xml:space="preserve"> Classique — Outil de régression et de modélisation</w:t>
            </w:r>
          </w:p>
        </w:tc>
        <w:tc>
          <w:tcPr>
            <w:tcW w:w="31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009483FA" w14:textId="197C0FA7" w:rsidR="009A64CF" w:rsidRDefault="00E71E4A">
            <w:hyperlink r:id="rId14" w:history="1">
              <w:r w:rsidR="00000000" w:rsidRPr="00E71E4A">
                <w:rPr>
                  <w:rStyle w:val="Hyperlien"/>
                  <w:sz w:val="20"/>
                  <w:szCs w:val="20"/>
                </w:rPr>
                <w:t>geogebra.org/</w:t>
              </w:r>
              <w:proofErr w:type="spellStart"/>
              <w:r w:rsidR="00000000" w:rsidRPr="00E71E4A">
                <w:rPr>
                  <w:rStyle w:val="Hyperlien"/>
                  <w:sz w:val="20"/>
                  <w:szCs w:val="20"/>
                </w:rPr>
                <w:t>classic</w:t>
              </w:r>
              <w:proofErr w:type="spellEnd"/>
            </w:hyperlink>
          </w:p>
        </w:tc>
      </w:tr>
      <w:tr w:rsidR="009A64CF" w14:paraId="2F64D04A" w14:textId="77777777">
        <w:tblPrEx>
          <w:tblCellMar>
            <w:top w:w="0" w:type="dxa"/>
            <w:bottom w:w="0" w:type="dxa"/>
          </w:tblCellMar>
        </w:tblPrEx>
        <w:tc>
          <w:tcPr>
            <w:tcW w:w="624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40" w:type="dxa"/>
              <w:bottom w:w="80" w:type="dxa"/>
              <w:right w:w="140" w:type="dxa"/>
            </w:tcMar>
          </w:tcPr>
          <w:p w14:paraId="4335E56C" w14:textId="77777777" w:rsidR="009A64CF" w:rsidRDefault="00000000">
            <w:r>
              <w:rPr>
                <w:color w:val="1E293B"/>
                <w:sz w:val="20"/>
                <w:szCs w:val="20"/>
              </w:rPr>
              <w:t xml:space="preserve">Document </w:t>
            </w:r>
            <w:proofErr w:type="spellStart"/>
            <w:r>
              <w:rPr>
                <w:color w:val="1E293B"/>
                <w:sz w:val="20"/>
                <w:szCs w:val="20"/>
              </w:rPr>
              <w:t>Copilot</w:t>
            </w:r>
            <w:proofErr w:type="spellEnd"/>
            <w:r>
              <w:rPr>
                <w:color w:val="1E293B"/>
                <w:sz w:val="20"/>
                <w:szCs w:val="20"/>
              </w:rPr>
              <w:t xml:space="preserve"> original (données source de l’activité)</w:t>
            </w:r>
          </w:p>
        </w:tc>
        <w:tc>
          <w:tcPr>
            <w:tcW w:w="31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40" w:type="dxa"/>
              <w:bottom w:w="80" w:type="dxa"/>
              <w:right w:w="140" w:type="dxa"/>
            </w:tcMar>
          </w:tcPr>
          <w:p w14:paraId="05AF4132" w14:textId="0BDD88E4" w:rsidR="009A64CF" w:rsidRDefault="00E71E4A">
            <w:hyperlink r:id="rId15" w:history="1">
              <w:r w:rsidR="00000000" w:rsidRPr="00E71E4A">
                <w:rPr>
                  <w:rStyle w:val="Hyperlien"/>
                  <w:sz w:val="20"/>
                  <w:szCs w:val="20"/>
                </w:rPr>
                <w:t>Lien disponible</w:t>
              </w:r>
            </w:hyperlink>
            <w:r w:rsidR="00000000">
              <w:rPr>
                <w:color w:val="1E293B"/>
                <w:sz w:val="20"/>
                <w:szCs w:val="20"/>
              </w:rPr>
              <w:t xml:space="preserve"> </w:t>
            </w:r>
          </w:p>
        </w:tc>
      </w:tr>
    </w:tbl>
    <w:p w14:paraId="49977868" w14:textId="77777777" w:rsidR="009A64CF" w:rsidRDefault="009A64C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A64CF" w14:paraId="538CF9A9" w14:textId="77777777">
        <w:tblPrEx>
          <w:tblCellMar>
            <w:top w:w="0" w:type="dxa"/>
            <w:bottom w:w="0" w:type="dxa"/>
          </w:tblCellMar>
        </w:tblPrEx>
        <w:tc>
          <w:tcPr>
            <w:tcW w:w="9360" w:type="dxa"/>
            <w:tcBorders>
              <w:top w:val="single" w:sz="1" w:space="0" w:color="CBD5E1"/>
              <w:left w:val="single" w:sz="12" w:space="0" w:color="CBD5E1"/>
              <w:bottom w:val="single" w:sz="1" w:space="0" w:color="CBD5E1"/>
              <w:right w:val="single" w:sz="1" w:space="0" w:color="CBD5E1"/>
            </w:tcBorders>
            <w:shd w:val="clear" w:color="auto" w:fill="F1F5F9"/>
            <w:tcMar>
              <w:top w:w="100" w:type="dxa"/>
              <w:left w:w="200" w:type="dxa"/>
              <w:bottom w:w="100" w:type="dxa"/>
              <w:right w:w="140" w:type="dxa"/>
            </w:tcMar>
          </w:tcPr>
          <w:p w14:paraId="52F2F93C" w14:textId="77777777" w:rsidR="009A64CF" w:rsidRDefault="00000000">
            <w:pPr>
              <w:spacing w:after="60"/>
            </w:pPr>
            <w:r>
              <w:rPr>
                <w:b/>
                <w:bCs/>
                <w:color w:val="CBD5E1"/>
              </w:rPr>
              <w:t>Licence</w:t>
            </w:r>
          </w:p>
          <w:p w14:paraId="4E504943" w14:textId="393D20AD" w:rsidR="009A64CF" w:rsidRDefault="00000000">
            <w:pPr>
              <w:spacing w:after="60"/>
            </w:pPr>
            <w:r>
              <w:rPr>
                <w:color w:val="1E293B"/>
                <w:sz w:val="20"/>
                <w:szCs w:val="20"/>
              </w:rPr>
              <w:t>Cet</w:t>
            </w:r>
            <w:r w:rsidR="00E71E4A">
              <w:rPr>
                <w:color w:val="1E293B"/>
                <w:sz w:val="20"/>
                <w:szCs w:val="20"/>
              </w:rPr>
              <w:t xml:space="preserve"> </w:t>
            </w:r>
            <w:r w:rsidR="00E71E4A" w:rsidRPr="00E71E4A">
              <w:rPr>
                <w:b/>
                <w:bCs/>
                <w:color w:val="1E293B"/>
                <w:sz w:val="20"/>
                <w:szCs w:val="20"/>
              </w:rPr>
              <w:t>exemple</w:t>
            </w:r>
            <w:r w:rsidR="00E71E4A">
              <w:rPr>
                <w:color w:val="1E293B"/>
                <w:sz w:val="20"/>
                <w:szCs w:val="20"/>
              </w:rPr>
              <w:t xml:space="preserve"> </w:t>
            </w:r>
            <w:r>
              <w:rPr>
                <w:color w:val="1E293B"/>
                <w:sz w:val="20"/>
                <w:szCs w:val="20"/>
              </w:rPr>
              <w:t>activité et ce guide sont diffusés sous licence Creative Commons BY-NC-SA 4.0.</w:t>
            </w:r>
          </w:p>
          <w:p w14:paraId="791780B4" w14:textId="77777777" w:rsidR="009A64CF" w:rsidRDefault="00000000">
            <w:pPr>
              <w:spacing w:after="60"/>
            </w:pPr>
            <w:r>
              <w:rPr>
                <w:color w:val="1E293B"/>
                <w:sz w:val="20"/>
                <w:szCs w:val="20"/>
              </w:rPr>
              <w:t>Ingénierie pédagogique : RÉCIT MST (mst@recit.gouv.qc.ca)</w:t>
            </w:r>
          </w:p>
          <w:p w14:paraId="15B172C7" w14:textId="77777777" w:rsidR="009A64CF" w:rsidRDefault="00000000">
            <w:pPr>
              <w:spacing w:after="60"/>
            </w:pPr>
            <w:r>
              <w:rPr>
                <w:color w:val="1E293B"/>
                <w:sz w:val="20"/>
                <w:szCs w:val="20"/>
              </w:rPr>
              <w:t>Programmation par une IA générative avec les instructions de sécurité RÉCIT MST.</w:t>
            </w:r>
          </w:p>
        </w:tc>
      </w:tr>
    </w:tbl>
    <w:p w14:paraId="6252992A" w14:textId="77777777" w:rsidR="00E80D1A" w:rsidRDefault="00E80D1A"/>
    <w:sectPr w:rsidR="00E80D1A">
      <w:headerReference w:type="default" r:id="rId16"/>
      <w:footerReference w:type="default" r:id="rId1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FA7D" w14:textId="77777777" w:rsidR="00E80D1A" w:rsidRDefault="00E80D1A">
      <w:r>
        <w:separator/>
      </w:r>
    </w:p>
  </w:endnote>
  <w:endnote w:type="continuationSeparator" w:id="0">
    <w:p w14:paraId="283458B1" w14:textId="77777777" w:rsidR="00E80D1A" w:rsidRDefault="00E8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0551" w14:textId="77777777" w:rsidR="009A64CF" w:rsidRPr="003B4E41" w:rsidRDefault="00000000">
    <w:pPr>
      <w:pBdr>
        <w:top w:val="single" w:sz="4" w:space="4" w:color="0069BF"/>
      </w:pBdr>
      <w:tabs>
        <w:tab w:val="right" w:pos="9360"/>
      </w:tabs>
      <w:spacing w:before="80"/>
      <w:rPr>
        <w:lang w:val="en-CA"/>
      </w:rPr>
    </w:pPr>
    <w:r w:rsidRPr="003B4E41">
      <w:rPr>
        <w:color w:val="475569"/>
        <w:sz w:val="18"/>
        <w:szCs w:val="18"/>
        <w:lang w:val="en-CA"/>
      </w:rPr>
      <w:t>recitmst.qc.ca  —  mst@recit.gouv.qc.ca</w:t>
    </w:r>
    <w:r w:rsidRPr="003B4E41">
      <w:rPr>
        <w:color w:val="475569"/>
        <w:sz w:val="18"/>
        <w:szCs w:val="18"/>
        <w:lang w:val="en-CA"/>
      </w:rPr>
      <w:tab/>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7621" w14:textId="77777777" w:rsidR="00E80D1A" w:rsidRDefault="00E80D1A">
      <w:r>
        <w:separator/>
      </w:r>
    </w:p>
  </w:footnote>
  <w:footnote w:type="continuationSeparator" w:id="0">
    <w:p w14:paraId="23AC4754" w14:textId="77777777" w:rsidR="00E80D1A" w:rsidRDefault="00E8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B7B4" w14:textId="77777777" w:rsidR="009A64CF" w:rsidRDefault="00000000">
    <w:pPr>
      <w:pBdr>
        <w:bottom w:val="single" w:sz="4" w:space="4" w:color="0069BF"/>
      </w:pBdr>
      <w:spacing w:after="80"/>
    </w:pPr>
    <w:r>
      <w:rPr>
        <w:color w:val="475569"/>
        <w:sz w:val="18"/>
        <w:szCs w:val="18"/>
      </w:rPr>
      <w:t xml:space="preserve">RÉCIT </w:t>
    </w:r>
    <w:proofErr w:type="gramStart"/>
    <w:r>
      <w:rPr>
        <w:color w:val="475569"/>
        <w:sz w:val="18"/>
        <w:szCs w:val="18"/>
      </w:rPr>
      <w:t>MST  —</w:t>
    </w:r>
    <w:proofErr w:type="gramEnd"/>
    <w:r>
      <w:rPr>
        <w:color w:val="475569"/>
        <w:sz w:val="18"/>
        <w:szCs w:val="18"/>
      </w:rPr>
      <w:t xml:space="preserve">  Guide du maître : Défier l’IA : analyse de données expérimentales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DA4"/>
    <w:multiLevelType w:val="hybridMultilevel"/>
    <w:tmpl w:val="DA94F33A"/>
    <w:lvl w:ilvl="0" w:tplc="A2088ECE">
      <w:start w:val="1"/>
      <w:numFmt w:val="decimal"/>
      <w:lvlText w:val="%1."/>
      <w:lvlJc w:val="left"/>
      <w:pPr>
        <w:ind w:left="720" w:hanging="360"/>
      </w:pPr>
    </w:lvl>
    <w:lvl w:ilvl="1" w:tplc="EFC87192">
      <w:numFmt w:val="decimal"/>
      <w:lvlText w:val=""/>
      <w:lvlJc w:val="left"/>
    </w:lvl>
    <w:lvl w:ilvl="2" w:tplc="842CFC38">
      <w:numFmt w:val="decimal"/>
      <w:lvlText w:val=""/>
      <w:lvlJc w:val="left"/>
    </w:lvl>
    <w:lvl w:ilvl="3" w:tplc="A2C4E6FA">
      <w:numFmt w:val="decimal"/>
      <w:lvlText w:val=""/>
      <w:lvlJc w:val="left"/>
    </w:lvl>
    <w:lvl w:ilvl="4" w:tplc="93B89522">
      <w:numFmt w:val="decimal"/>
      <w:lvlText w:val=""/>
      <w:lvlJc w:val="left"/>
    </w:lvl>
    <w:lvl w:ilvl="5" w:tplc="ACC6B5A4">
      <w:numFmt w:val="decimal"/>
      <w:lvlText w:val=""/>
      <w:lvlJc w:val="left"/>
    </w:lvl>
    <w:lvl w:ilvl="6" w:tplc="D200EF18">
      <w:numFmt w:val="decimal"/>
      <w:lvlText w:val=""/>
      <w:lvlJc w:val="left"/>
    </w:lvl>
    <w:lvl w:ilvl="7" w:tplc="32067868">
      <w:numFmt w:val="decimal"/>
      <w:lvlText w:val=""/>
      <w:lvlJc w:val="left"/>
    </w:lvl>
    <w:lvl w:ilvl="8" w:tplc="BF1C4412">
      <w:numFmt w:val="decimal"/>
      <w:lvlText w:val=""/>
      <w:lvlJc w:val="left"/>
    </w:lvl>
  </w:abstractNum>
  <w:abstractNum w:abstractNumId="1" w15:restartNumberingAfterBreak="0">
    <w:nsid w:val="410B00D2"/>
    <w:multiLevelType w:val="hybridMultilevel"/>
    <w:tmpl w:val="445E574C"/>
    <w:lvl w:ilvl="0" w:tplc="5AE0A08E">
      <w:start w:val="1"/>
      <w:numFmt w:val="bullet"/>
      <w:lvlText w:val="•"/>
      <w:lvlJc w:val="left"/>
      <w:pPr>
        <w:ind w:left="720" w:hanging="360"/>
      </w:pPr>
    </w:lvl>
    <w:lvl w:ilvl="1" w:tplc="E558EE1E">
      <w:numFmt w:val="decimal"/>
      <w:lvlText w:val=""/>
      <w:lvlJc w:val="left"/>
    </w:lvl>
    <w:lvl w:ilvl="2" w:tplc="B23E701A">
      <w:numFmt w:val="decimal"/>
      <w:lvlText w:val=""/>
      <w:lvlJc w:val="left"/>
    </w:lvl>
    <w:lvl w:ilvl="3" w:tplc="0C64D1C4">
      <w:numFmt w:val="decimal"/>
      <w:lvlText w:val=""/>
      <w:lvlJc w:val="left"/>
    </w:lvl>
    <w:lvl w:ilvl="4" w:tplc="CC185254">
      <w:numFmt w:val="decimal"/>
      <w:lvlText w:val=""/>
      <w:lvlJc w:val="left"/>
    </w:lvl>
    <w:lvl w:ilvl="5" w:tplc="C73849C0">
      <w:numFmt w:val="decimal"/>
      <w:lvlText w:val=""/>
      <w:lvlJc w:val="left"/>
    </w:lvl>
    <w:lvl w:ilvl="6" w:tplc="D284929C">
      <w:numFmt w:val="decimal"/>
      <w:lvlText w:val=""/>
      <w:lvlJc w:val="left"/>
    </w:lvl>
    <w:lvl w:ilvl="7" w:tplc="EC122A8E">
      <w:numFmt w:val="decimal"/>
      <w:lvlText w:val=""/>
      <w:lvlJc w:val="left"/>
    </w:lvl>
    <w:lvl w:ilvl="8" w:tplc="12BCFC72">
      <w:numFmt w:val="decimal"/>
      <w:lvlText w:val=""/>
      <w:lvlJc w:val="left"/>
    </w:lvl>
  </w:abstractNum>
  <w:abstractNum w:abstractNumId="2" w15:restartNumberingAfterBreak="0">
    <w:nsid w:val="54DA6844"/>
    <w:multiLevelType w:val="hybridMultilevel"/>
    <w:tmpl w:val="D27805D4"/>
    <w:lvl w:ilvl="0" w:tplc="00FAC7D0">
      <w:start w:val="1"/>
      <w:numFmt w:val="bullet"/>
      <w:lvlText w:val="●"/>
      <w:lvlJc w:val="left"/>
      <w:pPr>
        <w:ind w:left="720" w:hanging="360"/>
      </w:pPr>
    </w:lvl>
    <w:lvl w:ilvl="1" w:tplc="E9ECA7F8">
      <w:start w:val="1"/>
      <w:numFmt w:val="bullet"/>
      <w:lvlText w:val="○"/>
      <w:lvlJc w:val="left"/>
      <w:pPr>
        <w:ind w:left="1440" w:hanging="360"/>
      </w:pPr>
    </w:lvl>
    <w:lvl w:ilvl="2" w:tplc="86A04232">
      <w:start w:val="1"/>
      <w:numFmt w:val="bullet"/>
      <w:lvlText w:val="■"/>
      <w:lvlJc w:val="left"/>
      <w:pPr>
        <w:ind w:left="2160" w:hanging="360"/>
      </w:pPr>
    </w:lvl>
    <w:lvl w:ilvl="3" w:tplc="DD5CC2AC">
      <w:start w:val="1"/>
      <w:numFmt w:val="bullet"/>
      <w:lvlText w:val="●"/>
      <w:lvlJc w:val="left"/>
      <w:pPr>
        <w:ind w:left="2880" w:hanging="360"/>
      </w:pPr>
    </w:lvl>
    <w:lvl w:ilvl="4" w:tplc="EEA853EC">
      <w:start w:val="1"/>
      <w:numFmt w:val="bullet"/>
      <w:lvlText w:val="○"/>
      <w:lvlJc w:val="left"/>
      <w:pPr>
        <w:ind w:left="3600" w:hanging="360"/>
      </w:pPr>
    </w:lvl>
    <w:lvl w:ilvl="5" w:tplc="E362C4DE">
      <w:start w:val="1"/>
      <w:numFmt w:val="bullet"/>
      <w:lvlText w:val="■"/>
      <w:lvlJc w:val="left"/>
      <w:pPr>
        <w:ind w:left="4320" w:hanging="360"/>
      </w:pPr>
    </w:lvl>
    <w:lvl w:ilvl="6" w:tplc="169EF152">
      <w:start w:val="1"/>
      <w:numFmt w:val="bullet"/>
      <w:lvlText w:val="●"/>
      <w:lvlJc w:val="left"/>
      <w:pPr>
        <w:ind w:left="5040" w:hanging="360"/>
      </w:pPr>
    </w:lvl>
    <w:lvl w:ilvl="7" w:tplc="8B688484">
      <w:start w:val="1"/>
      <w:numFmt w:val="bullet"/>
      <w:lvlText w:val="●"/>
      <w:lvlJc w:val="left"/>
      <w:pPr>
        <w:ind w:left="5760" w:hanging="360"/>
      </w:pPr>
    </w:lvl>
    <w:lvl w:ilvl="8" w:tplc="2F505E82">
      <w:start w:val="1"/>
      <w:numFmt w:val="bullet"/>
      <w:lvlText w:val="●"/>
      <w:lvlJc w:val="left"/>
      <w:pPr>
        <w:ind w:left="6480" w:hanging="360"/>
      </w:pPr>
    </w:lvl>
  </w:abstractNum>
  <w:num w:numId="1" w16cid:durableId="1309700769">
    <w:abstractNumId w:val="2"/>
    <w:lvlOverride w:ilvl="0">
      <w:startOverride w:val="1"/>
    </w:lvlOverride>
  </w:num>
  <w:num w:numId="2" w16cid:durableId="16613648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CF"/>
    <w:rsid w:val="002A3739"/>
    <w:rsid w:val="003B4E41"/>
    <w:rsid w:val="00933A8E"/>
    <w:rsid w:val="009A64CF"/>
    <w:rsid w:val="00E71E4A"/>
    <w:rsid w:val="00E80D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CA99"/>
  <w15:docId w15:val="{D9A9244C-E190-44E4-B459-F492F9D8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40" w:after="180"/>
      <w:outlineLvl w:val="0"/>
    </w:pPr>
    <w:rPr>
      <w:b/>
      <w:bCs/>
      <w:color w:val="0069BF"/>
      <w:sz w:val="36"/>
      <w:szCs w:val="36"/>
    </w:rPr>
  </w:style>
  <w:style w:type="paragraph" w:styleId="Titre2">
    <w:name w:val="heading 2"/>
    <w:uiPriority w:val="9"/>
    <w:unhideWhenUsed/>
    <w:qFormat/>
    <w:pPr>
      <w:spacing w:before="200" w:after="120"/>
      <w:outlineLvl w:val="1"/>
    </w:pPr>
    <w:rPr>
      <w:b/>
      <w:bCs/>
      <w:color w:val="0069BF"/>
      <w:sz w:val="28"/>
      <w:szCs w:val="28"/>
    </w:rPr>
  </w:style>
  <w:style w:type="paragraph" w:styleId="Titre3">
    <w:name w:val="heading 3"/>
    <w:uiPriority w:val="9"/>
    <w:semiHidden/>
    <w:unhideWhenUsed/>
    <w:qFormat/>
    <w:pPr>
      <w:spacing w:before="160" w:after="80"/>
      <w:outlineLvl w:val="2"/>
    </w:pPr>
    <w:rPr>
      <w:b/>
      <w:bCs/>
      <w:color w:val="384F5C"/>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Hyperlien">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Mentionnonrsolue">
    <w:name w:val="Unresolved Mention"/>
    <w:basedOn w:val="Policepardfaut"/>
    <w:uiPriority w:val="99"/>
    <w:semiHidden/>
    <w:unhideWhenUsed/>
    <w:rsid w:val="00E7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smos.com/calculat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citmst.qc.ca/defier-ia-analyse-donnees.html" TargetMode="External"/><Relationship Id="rId12" Type="http://schemas.openxmlformats.org/officeDocument/2006/relationships/hyperlink" Target="https://cdn-contenu.quebec.ca/cdn-contenu/education/Numerique/Guide-utilisation-pedagogique-ethique-legale-IA-personnel-enseignant.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n-contenu.quebec.ca/cdn-contenu/education/Numerique/Cadre-reference-competence-num.pdf" TargetMode="External"/><Relationship Id="rId5" Type="http://schemas.openxmlformats.org/officeDocument/2006/relationships/footnotes" Target="footnotes.xml"/><Relationship Id="rId15" Type="http://schemas.openxmlformats.org/officeDocument/2006/relationships/hyperlink" Target="https://drive.google.com/file/d/1rd9n1pYWBarvyB99r2YSk7TTF2wW2bhI/view?usp=sharing" TargetMode="External"/><Relationship Id="rId10" Type="http://schemas.openxmlformats.org/officeDocument/2006/relationships/hyperlink" Target="http://recitmst.qc.ca/salle-ec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mpus.recit.qc.ca/" TargetMode="External"/><Relationship Id="rId14" Type="http://schemas.openxmlformats.org/officeDocument/2006/relationships/hyperlink" Target="https://www.geogebra.org/classi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2065</Words>
  <Characters>12293</Characters>
  <Application>Microsoft Office Word</Application>
  <DocSecurity>0</DocSecurity>
  <Lines>439</Lines>
  <Paragraphs>243</Paragraphs>
  <ScaleCrop>false</ScaleCrop>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Pierre Lachance</cp:lastModifiedBy>
  <cp:revision>4</cp:revision>
  <dcterms:created xsi:type="dcterms:W3CDTF">2026-03-30T14:05:00Z</dcterms:created>
  <dcterms:modified xsi:type="dcterms:W3CDTF">2026-03-30T14:14:00Z</dcterms:modified>
</cp:coreProperties>
</file>